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03EEC" w14:textId="52D65D0D" w:rsidR="00274386" w:rsidRPr="00CA2A40" w:rsidRDefault="00E32DDC" w:rsidP="00274386">
      <w:pPr>
        <w:pStyle w:val="afb"/>
        <w:rPr>
          <w:rFonts w:eastAsia="宋体"/>
          <w:szCs w:val="22"/>
          <w:lang w:eastAsia="zh-CN"/>
        </w:rPr>
      </w:pPr>
      <w:bookmarkStart w:id="0" w:name="_Ref399006623"/>
      <w:bookmarkStart w:id="1" w:name="_Toc92513360"/>
      <w:r w:rsidRPr="00CA2A40">
        <w:rPr>
          <w:szCs w:val="22"/>
        </w:rPr>
        <w:t>3GPP TSG-RAN WG4 Meeting #</w:t>
      </w:r>
      <w:r w:rsidR="00274386" w:rsidRPr="00CA2A40">
        <w:rPr>
          <w:rFonts w:cs="Arial"/>
          <w:szCs w:val="22"/>
        </w:rPr>
        <w:t>11</w:t>
      </w:r>
      <w:r w:rsidR="00274386">
        <w:rPr>
          <w:rFonts w:cs="Arial"/>
          <w:szCs w:val="22"/>
        </w:rPr>
        <w:t>3</w:t>
      </w:r>
      <w:r w:rsidR="00274386" w:rsidRPr="00CA2A40">
        <w:rPr>
          <w:rFonts w:cs="Arial"/>
          <w:szCs w:val="22"/>
        </w:rPr>
        <w:t xml:space="preserve">    </w:t>
      </w:r>
      <w:r w:rsidR="00274386" w:rsidRPr="00CA2A40">
        <w:rPr>
          <w:rFonts w:eastAsia="宋体" w:hint="eastAsia"/>
          <w:szCs w:val="22"/>
          <w:lang w:eastAsia="zh-CN"/>
        </w:rPr>
        <w:t xml:space="preserve">            </w:t>
      </w:r>
      <w:r w:rsidR="00274386" w:rsidRPr="00CA2A40">
        <w:rPr>
          <w:rFonts w:eastAsia="宋体"/>
          <w:szCs w:val="22"/>
          <w:lang w:eastAsia="zh-CN"/>
        </w:rPr>
        <w:t xml:space="preserve">   </w:t>
      </w:r>
      <w:r w:rsidR="00274386" w:rsidRPr="00CA2A40">
        <w:rPr>
          <w:rFonts w:eastAsia="宋体" w:hint="eastAsia"/>
          <w:szCs w:val="22"/>
          <w:lang w:eastAsia="zh-CN"/>
        </w:rPr>
        <w:t xml:space="preserve">         </w:t>
      </w:r>
      <w:r w:rsidR="00274386">
        <w:rPr>
          <w:rFonts w:eastAsia="宋体"/>
          <w:szCs w:val="22"/>
          <w:lang w:eastAsia="zh-CN"/>
        </w:rPr>
        <w:t xml:space="preserve">    </w:t>
      </w:r>
      <w:r w:rsidR="00274386" w:rsidRPr="00CA2A40">
        <w:rPr>
          <w:rFonts w:eastAsia="宋体" w:hint="eastAsia"/>
          <w:szCs w:val="22"/>
          <w:lang w:eastAsia="zh-CN"/>
        </w:rPr>
        <w:t xml:space="preserve">  </w:t>
      </w:r>
      <w:r w:rsidR="00274386" w:rsidRPr="00CA2A40">
        <w:rPr>
          <w:rFonts w:eastAsia="宋体"/>
          <w:szCs w:val="22"/>
          <w:lang w:eastAsia="zh-CN"/>
        </w:rPr>
        <w:t xml:space="preserve">   </w:t>
      </w:r>
      <w:r w:rsidR="00274386">
        <w:rPr>
          <w:rFonts w:eastAsia="宋体"/>
          <w:szCs w:val="22"/>
          <w:lang w:eastAsia="zh-CN"/>
        </w:rPr>
        <w:t xml:space="preserve">   </w:t>
      </w:r>
      <w:r w:rsidR="00274386" w:rsidRPr="00CA2A40">
        <w:rPr>
          <w:rFonts w:eastAsia="宋体"/>
          <w:szCs w:val="22"/>
          <w:lang w:eastAsia="zh-CN"/>
        </w:rPr>
        <w:t xml:space="preserve"> </w:t>
      </w:r>
      <w:r w:rsidR="00274386">
        <w:rPr>
          <w:szCs w:val="22"/>
        </w:rPr>
        <w:t>R4-241</w:t>
      </w:r>
      <w:r w:rsidR="007B00D9">
        <w:rPr>
          <w:szCs w:val="22"/>
        </w:rPr>
        <w:t>9034</w:t>
      </w:r>
      <w:bookmarkStart w:id="2" w:name="_GoBack"/>
      <w:bookmarkEnd w:id="2"/>
    </w:p>
    <w:p w14:paraId="1DC1B158" w14:textId="5841E370" w:rsidR="00675C27" w:rsidRPr="00CA2A40" w:rsidRDefault="00274386" w:rsidP="00274386">
      <w:pPr>
        <w:pStyle w:val="afb"/>
        <w:rPr>
          <w:rFonts w:eastAsia="宋体"/>
          <w:szCs w:val="22"/>
          <w:lang w:eastAsia="zh-CN"/>
        </w:rPr>
      </w:pPr>
      <w:r w:rsidRPr="004D5ABA">
        <w:rPr>
          <w:rFonts w:cs="Arial"/>
          <w:szCs w:val="22"/>
        </w:rPr>
        <w:t>Orlando, US</w:t>
      </w:r>
      <w:r w:rsidRPr="00CA2A40">
        <w:rPr>
          <w:rFonts w:cs="Arial"/>
          <w:szCs w:val="22"/>
        </w:rPr>
        <w:t xml:space="preserve">, </w:t>
      </w:r>
      <w:r>
        <w:rPr>
          <w:rFonts w:cs="Arial"/>
          <w:szCs w:val="22"/>
        </w:rPr>
        <w:t>November</w:t>
      </w:r>
      <w:r w:rsidRPr="00CA2A40">
        <w:rPr>
          <w:rFonts w:cs="Arial"/>
          <w:szCs w:val="22"/>
        </w:rPr>
        <w:t xml:space="preserve"> </w:t>
      </w:r>
      <w:r>
        <w:rPr>
          <w:rFonts w:cs="Arial"/>
          <w:szCs w:val="22"/>
        </w:rPr>
        <w:t>18 - 22</w:t>
      </w:r>
      <w:r w:rsidRPr="00CA2A40">
        <w:rPr>
          <w:szCs w:val="22"/>
        </w:rPr>
        <w:t>,</w:t>
      </w:r>
      <w:r w:rsidR="00E63AA8" w:rsidRPr="00CA2A40">
        <w:rPr>
          <w:szCs w:val="22"/>
        </w:rPr>
        <w:t xml:space="preserve"> 202</w:t>
      </w:r>
      <w:r w:rsidR="00E63AA8" w:rsidRPr="00CA2A40">
        <w:rPr>
          <w:rFonts w:eastAsia="宋体"/>
          <w:szCs w:val="22"/>
          <w:lang w:eastAsia="zh-CN"/>
        </w:rPr>
        <w:t>4</w:t>
      </w:r>
    </w:p>
    <w:p w14:paraId="2ABD4DE5" w14:textId="77777777" w:rsidR="00F71A33" w:rsidRPr="00CA2A40" w:rsidRDefault="00F71A33" w:rsidP="00F71A33">
      <w:pPr>
        <w:pStyle w:val="afb"/>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43B69B49"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FB2EA0" w:rsidRPr="00FB2EA0">
        <w:rPr>
          <w:rFonts w:ascii="Arial" w:hAnsi="Arial" w:cs="Arial"/>
          <w:sz w:val="22"/>
          <w:szCs w:val="22"/>
        </w:rPr>
        <w:t xml:space="preserve">On </w:t>
      </w:r>
      <w:r w:rsidR="00FE4602" w:rsidRPr="00FE4602">
        <w:rPr>
          <w:rFonts w:ascii="Arial" w:hAnsi="Arial" w:cs="Arial"/>
          <w:sz w:val="22"/>
          <w:szCs w:val="22"/>
        </w:rPr>
        <w:t>potentially new requirements for SBFD</w:t>
      </w:r>
    </w:p>
    <w:p w14:paraId="4FD55D83" w14:textId="4A028AE8"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302C19">
        <w:rPr>
          <w:rFonts w:ascii="Arial" w:hAnsi="Arial" w:cs="Arial"/>
          <w:sz w:val="22"/>
          <w:szCs w:val="22"/>
        </w:rPr>
        <w:t>7</w:t>
      </w:r>
      <w:r w:rsidR="00620221">
        <w:rPr>
          <w:rFonts w:ascii="Arial" w:hAnsi="Arial" w:cs="Arial"/>
          <w:sz w:val="22"/>
          <w:szCs w:val="22"/>
        </w:rPr>
        <w:t>.</w:t>
      </w:r>
      <w:r w:rsidR="00E32DDC">
        <w:rPr>
          <w:rFonts w:ascii="Arial" w:hAnsi="Arial" w:cs="Arial"/>
          <w:sz w:val="22"/>
          <w:szCs w:val="22"/>
        </w:rPr>
        <w:t>20</w:t>
      </w:r>
      <w:r w:rsidR="00620221">
        <w:rPr>
          <w:rFonts w:ascii="Arial" w:hAnsi="Arial" w:cs="Arial"/>
          <w:sz w:val="22"/>
          <w:szCs w:val="22"/>
        </w:rPr>
        <w:t>.</w:t>
      </w:r>
      <w:r w:rsidR="00FE4602">
        <w:rPr>
          <w:rFonts w:ascii="Arial" w:hAnsi="Arial" w:cs="Arial"/>
          <w:sz w:val="22"/>
          <w:szCs w:val="22"/>
        </w:rPr>
        <w:t>2.</w:t>
      </w:r>
      <w:r w:rsidR="002B6357">
        <w:rPr>
          <w:rFonts w:ascii="Arial" w:hAnsi="Arial" w:cs="Arial"/>
          <w:sz w:val="22"/>
          <w:szCs w:val="22"/>
        </w:rPr>
        <w:t>1</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05BE6015" w14:textId="0DBB266D" w:rsidR="00AB1467" w:rsidRDefault="00E11C52" w:rsidP="00AB1467">
      <w:pPr>
        <w:jc w:val="both"/>
      </w:pPr>
      <w:r>
        <w:t>During</w:t>
      </w:r>
      <w:r w:rsidR="00AB1467">
        <w:t xml:space="preserve"> RAN</w:t>
      </w:r>
      <w:r w:rsidR="009676FD">
        <w:t>4</w:t>
      </w:r>
      <w:r w:rsidR="008B6EC4">
        <w:t>#</w:t>
      </w:r>
      <w:r w:rsidR="00F72EAC">
        <w:t>1</w:t>
      </w:r>
      <w:r w:rsidR="009676FD">
        <w:t>1</w:t>
      </w:r>
      <w:r w:rsidR="00C36C43">
        <w:t>2</w:t>
      </w:r>
      <w:r w:rsidR="00302C19">
        <w:t>bis</w:t>
      </w:r>
      <w:r w:rsidR="008B6EC4">
        <w:t xml:space="preserve">, </w:t>
      </w:r>
      <w:r w:rsidR="00E67330">
        <w:t>potentially new requirements</w:t>
      </w:r>
      <w:r w:rsidR="000669F9">
        <w:t xml:space="preserve"> for SBFD</w:t>
      </w:r>
      <w:r w:rsidR="00933208">
        <w:t xml:space="preserve"> </w:t>
      </w:r>
      <w:r w:rsidR="008741F1">
        <w:t>ha</w:t>
      </w:r>
      <w:r w:rsidR="000669F9">
        <w:t>ve</w:t>
      </w:r>
      <w:r w:rsidR="00F06EA1">
        <w:t xml:space="preserve"> been </w:t>
      </w:r>
      <w:r w:rsidR="008741F1">
        <w:t>discussed</w:t>
      </w:r>
      <w:r w:rsidR="00F06EA1">
        <w:t>.</w:t>
      </w:r>
      <w:r w:rsidR="008741F1">
        <w:t xml:space="preserve"> Following conclusion</w:t>
      </w:r>
      <w:r w:rsidR="00933208">
        <w:t>s</w:t>
      </w:r>
      <w:r w:rsidR="00C36C43">
        <w:t xml:space="preserve"> and FFS points</w:t>
      </w:r>
      <w:r w:rsidR="002078F5">
        <w:t xml:space="preserve"> </w:t>
      </w:r>
      <w:r w:rsidR="00933208">
        <w:t>are reproduced from</w:t>
      </w:r>
      <w:r w:rsidR="008741F1">
        <w:t xml:space="preserve"> [1].</w:t>
      </w:r>
      <w:r w:rsidR="007E777D">
        <w:t xml:space="preserve"> </w:t>
      </w:r>
      <w:r w:rsidR="008741F1">
        <w:t xml:space="preserve"> </w:t>
      </w:r>
    </w:p>
    <w:tbl>
      <w:tblPr>
        <w:tblStyle w:val="af8"/>
        <w:tblW w:w="0" w:type="auto"/>
        <w:tblLook w:val="04A0" w:firstRow="1" w:lastRow="0" w:firstColumn="1" w:lastColumn="0" w:noHBand="0" w:noVBand="1"/>
      </w:tblPr>
      <w:tblGrid>
        <w:gridCol w:w="9631"/>
      </w:tblGrid>
      <w:tr w:rsidR="008900E8" w14:paraId="055F5D41" w14:textId="77777777" w:rsidTr="008900E8">
        <w:tc>
          <w:tcPr>
            <w:tcW w:w="9631" w:type="dxa"/>
          </w:tcPr>
          <w:p w14:paraId="649C8404" w14:textId="77777777" w:rsidR="00D6284A" w:rsidRPr="000638BA" w:rsidRDefault="00D6284A" w:rsidP="00D6284A">
            <w:pPr>
              <w:pStyle w:val="5"/>
              <w:ind w:left="1008" w:hanging="1008"/>
              <w:outlineLvl w:val="4"/>
            </w:pPr>
            <w:r>
              <w:t>Transient period requirement applicability on frequency/antenna</w:t>
            </w:r>
          </w:p>
          <w:p w14:paraId="6381820A" w14:textId="77777777" w:rsidR="00D6284A" w:rsidRPr="00793B30" w:rsidRDefault="00D6284A" w:rsidP="00D6284A">
            <w:pPr>
              <w:spacing w:after="120" w:line="259" w:lineRule="auto"/>
              <w:rPr>
                <w:lang w:val="en-US"/>
              </w:rPr>
            </w:pPr>
            <w:r>
              <w:rPr>
                <w:lang w:val="en-US"/>
              </w:rPr>
              <w:t>Way Forward</w:t>
            </w:r>
            <w:r w:rsidRPr="00F0023D">
              <w:rPr>
                <w:lang w:val="en-US"/>
              </w:rPr>
              <w:t xml:space="preserve">: </w:t>
            </w:r>
          </w:p>
          <w:p w14:paraId="7A66ABBF" w14:textId="77777777" w:rsidR="00D6284A" w:rsidRDefault="00D6284A" w:rsidP="00D6284A">
            <w:pPr>
              <w:pStyle w:val="aff6"/>
              <w:widowControl/>
              <w:numPr>
                <w:ilvl w:val="0"/>
                <w:numId w:val="12"/>
              </w:numPr>
              <w:spacing w:after="120" w:line="259" w:lineRule="auto"/>
              <w:ind w:left="936" w:firstLineChars="0"/>
              <w:jc w:val="left"/>
              <w:rPr>
                <w:szCs w:val="24"/>
                <w:lang w:eastAsia="zh-CN"/>
              </w:rPr>
            </w:pPr>
            <w:r>
              <w:rPr>
                <w:szCs w:val="24"/>
                <w:lang w:eastAsia="zh-CN"/>
              </w:rPr>
              <w:t xml:space="preserve">FFS the </w:t>
            </w:r>
            <w:r w:rsidRPr="00880DE6">
              <w:rPr>
                <w:szCs w:val="24"/>
                <w:lang w:eastAsia="zh-CN"/>
              </w:rPr>
              <w:t>text proposal for the clause of transmitter transient period for SBFD</w:t>
            </w:r>
            <w:r>
              <w:rPr>
                <w:szCs w:val="24"/>
                <w:lang w:eastAsia="zh-CN"/>
              </w:rPr>
              <w:t xml:space="preserve">, e.g., the example provided in </w:t>
            </w:r>
            <w:r w:rsidRPr="005C2CFF">
              <w:rPr>
                <w:szCs w:val="24"/>
                <w:lang w:eastAsia="zh-CN"/>
              </w:rPr>
              <w:t>R4-2416498</w:t>
            </w:r>
            <w:r>
              <w:rPr>
                <w:szCs w:val="24"/>
                <w:lang w:eastAsia="zh-CN"/>
              </w:rPr>
              <w:t xml:space="preserve">. </w:t>
            </w:r>
          </w:p>
          <w:p w14:paraId="4FD7B0BA" w14:textId="77777777" w:rsidR="00D6284A" w:rsidRDefault="00D6284A" w:rsidP="00D6284A">
            <w:pPr>
              <w:spacing w:after="120" w:line="259" w:lineRule="auto"/>
              <w:rPr>
                <w:lang w:val="en-US"/>
              </w:rPr>
            </w:pPr>
          </w:p>
          <w:p w14:paraId="20A3B09B" w14:textId="6FA14BE0" w:rsidR="00D6284A" w:rsidRPr="000638BA" w:rsidRDefault="00D6284A" w:rsidP="00D6284A">
            <w:pPr>
              <w:pStyle w:val="5"/>
              <w:ind w:left="1008" w:hanging="1008"/>
              <w:outlineLvl w:val="4"/>
            </w:pPr>
            <w:r>
              <w:t>L</w:t>
            </w:r>
            <w:r w:rsidRPr="00A45A70">
              <w:t>ocation of transient period between SBFD and non-SBFD</w:t>
            </w:r>
          </w:p>
          <w:p w14:paraId="42BAE667" w14:textId="77777777" w:rsidR="00D6284A" w:rsidRPr="00FE54FC" w:rsidRDefault="00D6284A" w:rsidP="00D6284A">
            <w:pPr>
              <w:spacing w:after="120" w:line="259" w:lineRule="auto"/>
              <w:rPr>
                <w:lang w:val="en-US"/>
              </w:rPr>
            </w:pPr>
            <w:r>
              <w:rPr>
                <w:lang w:val="en-US"/>
              </w:rPr>
              <w:t>Way Forward</w:t>
            </w:r>
            <w:r w:rsidRPr="00F0023D">
              <w:rPr>
                <w:lang w:val="en-US"/>
              </w:rPr>
              <w:t xml:space="preserve">: </w:t>
            </w:r>
          </w:p>
          <w:p w14:paraId="1725CAD2" w14:textId="77777777" w:rsidR="00D6284A" w:rsidRPr="00DA42B9" w:rsidRDefault="00D6284A" w:rsidP="00D6284A">
            <w:pPr>
              <w:pStyle w:val="aff6"/>
              <w:widowControl/>
              <w:numPr>
                <w:ilvl w:val="0"/>
                <w:numId w:val="12"/>
              </w:numPr>
              <w:spacing w:after="120" w:line="259" w:lineRule="auto"/>
              <w:ind w:left="720" w:firstLineChars="0"/>
              <w:jc w:val="left"/>
              <w:rPr>
                <w:lang w:val="en-US"/>
              </w:rPr>
            </w:pPr>
            <w:r>
              <w:rPr>
                <w:lang w:val="en-US"/>
              </w:rPr>
              <w:t>FFS l</w:t>
            </w:r>
            <w:r w:rsidRPr="00DA42B9">
              <w:rPr>
                <w:lang w:val="en-US"/>
              </w:rPr>
              <w:t xml:space="preserve">ocation of transient period between SBFD and non-SBFD: </w:t>
            </w:r>
          </w:p>
          <w:p w14:paraId="1FE2A61E" w14:textId="77777777" w:rsidR="00D6284A" w:rsidRDefault="00D6284A" w:rsidP="00D6284A">
            <w:pPr>
              <w:pStyle w:val="aff6"/>
              <w:widowControl/>
              <w:numPr>
                <w:ilvl w:val="1"/>
                <w:numId w:val="12"/>
              </w:numPr>
              <w:spacing w:after="120" w:line="259" w:lineRule="auto"/>
              <w:ind w:left="1656" w:firstLineChars="0"/>
              <w:jc w:val="left"/>
              <w:rPr>
                <w:lang w:val="en-US"/>
              </w:rPr>
            </w:pPr>
            <w:r>
              <w:rPr>
                <w:lang w:val="en-US"/>
              </w:rPr>
              <w:t>Option</w:t>
            </w:r>
            <w:r w:rsidRPr="00DA42B9">
              <w:rPr>
                <w:lang w:val="en-US"/>
              </w:rPr>
              <w:t xml:space="preserve"> 1: </w:t>
            </w:r>
            <w:r w:rsidRPr="00326CE1">
              <w:rPr>
                <w:lang w:val="en-US"/>
              </w:rPr>
              <w:t>No need to discuss and decide whether the transmitter transient period shall be located within the SBFD symbol or not.</w:t>
            </w:r>
          </w:p>
          <w:p w14:paraId="550B9FD8" w14:textId="77777777" w:rsidR="00D6284A" w:rsidRDefault="00D6284A" w:rsidP="00D6284A">
            <w:pPr>
              <w:pStyle w:val="aff6"/>
              <w:widowControl/>
              <w:numPr>
                <w:ilvl w:val="1"/>
                <w:numId w:val="12"/>
              </w:numPr>
              <w:spacing w:after="120" w:line="259" w:lineRule="auto"/>
              <w:ind w:left="1656" w:firstLineChars="0"/>
              <w:jc w:val="left"/>
              <w:rPr>
                <w:lang w:val="en-US"/>
              </w:rPr>
            </w:pPr>
            <w:r>
              <w:rPr>
                <w:rFonts w:eastAsiaTheme="minorEastAsia" w:hint="eastAsia"/>
                <w:lang w:val="en-US" w:eastAsia="zh-CN"/>
              </w:rPr>
              <w:t>O</w:t>
            </w:r>
            <w:r>
              <w:rPr>
                <w:rFonts w:eastAsiaTheme="minorEastAsia"/>
                <w:lang w:val="en-US" w:eastAsia="zh-CN"/>
              </w:rPr>
              <w:t xml:space="preserve">ption 2: </w:t>
            </w:r>
            <w:r w:rsidRPr="004564FF">
              <w:rPr>
                <w:rFonts w:eastAsiaTheme="minorEastAsia"/>
                <w:lang w:val="en-US" w:eastAsia="zh-CN"/>
              </w:rPr>
              <w:t>Place the transient period outside of both SBFD and non-SBFD slots.</w:t>
            </w:r>
          </w:p>
          <w:p w14:paraId="39FFFE3B" w14:textId="77777777" w:rsidR="00D6284A" w:rsidRPr="004564FF" w:rsidRDefault="00D6284A" w:rsidP="00D6284A">
            <w:pPr>
              <w:pStyle w:val="aff6"/>
              <w:widowControl/>
              <w:numPr>
                <w:ilvl w:val="1"/>
                <w:numId w:val="12"/>
              </w:numPr>
              <w:spacing w:after="120" w:line="259" w:lineRule="auto"/>
              <w:ind w:left="1656" w:firstLineChars="0"/>
              <w:jc w:val="left"/>
              <w:rPr>
                <w:lang w:val="en-US"/>
              </w:rPr>
            </w:pPr>
            <w:r>
              <w:rPr>
                <w:rFonts w:eastAsiaTheme="minorEastAsia" w:hint="eastAsia"/>
                <w:lang w:val="en-US" w:eastAsia="zh-CN"/>
              </w:rPr>
              <w:t>O</w:t>
            </w:r>
            <w:r>
              <w:rPr>
                <w:rFonts w:eastAsiaTheme="minorEastAsia"/>
                <w:lang w:val="en-US" w:eastAsia="zh-CN"/>
              </w:rPr>
              <w:t xml:space="preserve">ption 3: </w:t>
            </w:r>
            <w:r w:rsidRPr="00FC46C6">
              <w:rPr>
                <w:rFonts w:eastAsiaTheme="minorEastAsia"/>
                <w:lang w:val="en-US" w:eastAsia="zh-CN"/>
              </w:rPr>
              <w:t xml:space="preserve">The location of the transient period between SBFD and non-SBFD shall be within the SBFD </w:t>
            </w:r>
            <w:r>
              <w:rPr>
                <w:rFonts w:eastAsiaTheme="minorEastAsia"/>
                <w:lang w:val="en-US" w:eastAsia="zh-CN"/>
              </w:rPr>
              <w:t>symbol)</w:t>
            </w:r>
            <w:r w:rsidRPr="00FC46C6">
              <w:rPr>
                <w:rFonts w:eastAsiaTheme="minorEastAsia"/>
                <w:lang w:val="en-US" w:eastAsia="zh-CN"/>
              </w:rPr>
              <w:t>.</w:t>
            </w:r>
          </w:p>
          <w:p w14:paraId="2CC8F254" w14:textId="77777777" w:rsidR="00D6284A" w:rsidRDefault="00D6284A" w:rsidP="00D6284A">
            <w:pPr>
              <w:spacing w:after="120" w:line="259" w:lineRule="auto"/>
              <w:rPr>
                <w:lang w:val="en-US"/>
              </w:rPr>
            </w:pPr>
          </w:p>
          <w:p w14:paraId="340552A3" w14:textId="19E8B934" w:rsidR="00D6284A" w:rsidRPr="00672D85" w:rsidRDefault="00D6284A" w:rsidP="00D6284A">
            <w:pPr>
              <w:pStyle w:val="3"/>
              <w:keepNext/>
              <w:keepLines/>
              <w:numPr>
                <w:ilvl w:val="0"/>
                <w:numId w:val="0"/>
              </w:numPr>
              <w:overflowPunct w:val="0"/>
              <w:autoSpaceDE w:val="0"/>
              <w:autoSpaceDN w:val="0"/>
              <w:adjustRightInd w:val="0"/>
              <w:spacing w:before="120" w:beforeAutospacing="0" w:afterLines="0" w:after="180"/>
              <w:ind w:left="510" w:hanging="510"/>
              <w:textAlignment w:val="baseline"/>
              <w:outlineLvl w:val="2"/>
            </w:pPr>
            <w:r w:rsidRPr="00672D85">
              <w:t>In-channel adjacent subband leakage ratio requirements</w:t>
            </w:r>
          </w:p>
          <w:p w14:paraId="4B40140D" w14:textId="1015B7DE" w:rsidR="00D6284A" w:rsidRPr="00326CE1" w:rsidRDefault="00D6284A" w:rsidP="00D6284A">
            <w:pPr>
              <w:pStyle w:val="5"/>
              <w:ind w:left="1008" w:hanging="1008"/>
              <w:outlineLvl w:val="4"/>
            </w:pPr>
            <w:r w:rsidRPr="00326CE1">
              <w:t xml:space="preserve">Necessity of in-channel adjacent subband leakage ratio requirements </w:t>
            </w:r>
          </w:p>
          <w:p w14:paraId="744E1295" w14:textId="77777777" w:rsidR="00D6284A" w:rsidRPr="00525D11" w:rsidRDefault="00D6284A" w:rsidP="00D6284A">
            <w:pPr>
              <w:spacing w:after="120" w:line="259" w:lineRule="auto"/>
              <w:rPr>
                <w:szCs w:val="24"/>
              </w:rPr>
            </w:pPr>
            <w:r w:rsidRPr="00525D11">
              <w:rPr>
                <w:szCs w:val="24"/>
              </w:rPr>
              <w:t xml:space="preserve">[Background] In RAN4#112, the following WF is approved: </w:t>
            </w:r>
          </w:p>
          <w:tbl>
            <w:tblPr>
              <w:tblStyle w:val="af8"/>
              <w:tblW w:w="0" w:type="auto"/>
              <w:tblInd w:w="720" w:type="dxa"/>
              <w:tblLook w:val="04A0" w:firstRow="1" w:lastRow="0" w:firstColumn="1" w:lastColumn="0" w:noHBand="0" w:noVBand="1"/>
            </w:tblPr>
            <w:tblGrid>
              <w:gridCol w:w="8685"/>
            </w:tblGrid>
            <w:tr w:rsidR="00D6284A" w14:paraId="54D51220" w14:textId="77777777" w:rsidTr="00FC1628">
              <w:tc>
                <w:tcPr>
                  <w:tcW w:w="9629" w:type="dxa"/>
                </w:tcPr>
                <w:p w14:paraId="722BD27D" w14:textId="77777777" w:rsidR="00D6284A" w:rsidRDefault="00D6284A" w:rsidP="00D6284A">
                  <w:pPr>
                    <w:pStyle w:val="aff6"/>
                    <w:widowControl/>
                    <w:numPr>
                      <w:ilvl w:val="0"/>
                      <w:numId w:val="12"/>
                    </w:numPr>
                    <w:ind w:left="720" w:firstLineChars="0" w:hanging="357"/>
                    <w:jc w:val="left"/>
                    <w:rPr>
                      <w:szCs w:val="24"/>
                      <w:lang w:eastAsia="zh-CN"/>
                    </w:rPr>
                  </w:pPr>
                  <w:r>
                    <w:rPr>
                      <w:szCs w:val="24"/>
                      <w:lang w:eastAsia="zh-CN"/>
                    </w:rPr>
                    <w:t xml:space="preserve">Way forward: </w:t>
                  </w:r>
                </w:p>
                <w:p w14:paraId="16370910" w14:textId="77777777" w:rsidR="00D6284A" w:rsidRPr="0099483F" w:rsidRDefault="00D6284A" w:rsidP="00D6284A">
                  <w:pPr>
                    <w:pStyle w:val="aff6"/>
                    <w:widowControl/>
                    <w:numPr>
                      <w:ilvl w:val="1"/>
                      <w:numId w:val="12"/>
                    </w:numPr>
                    <w:overflowPunct w:val="0"/>
                    <w:autoSpaceDE w:val="0"/>
                    <w:autoSpaceDN w:val="0"/>
                    <w:adjustRightInd w:val="0"/>
                    <w:ind w:left="1656" w:firstLineChars="0" w:hanging="357"/>
                    <w:jc w:val="left"/>
                    <w:textAlignment w:val="baseline"/>
                    <w:rPr>
                      <w:szCs w:val="24"/>
                      <w:lang w:eastAsia="zh-CN"/>
                    </w:rPr>
                  </w:pPr>
                  <w:r w:rsidRPr="0099483F">
                    <w:rPr>
                      <w:szCs w:val="24"/>
                      <w:lang w:eastAsia="zh-CN"/>
                    </w:rPr>
                    <w:t>FFS the necessity of in-channel adjacent subband leakage ratio requirements</w:t>
                  </w:r>
                </w:p>
                <w:p w14:paraId="586363D5" w14:textId="77777777" w:rsidR="00D6284A" w:rsidRPr="0099483F" w:rsidRDefault="00D6284A" w:rsidP="00D6284A">
                  <w:pPr>
                    <w:pStyle w:val="aff6"/>
                    <w:widowControl/>
                    <w:numPr>
                      <w:ilvl w:val="2"/>
                      <w:numId w:val="12"/>
                    </w:numPr>
                    <w:overflowPunct w:val="0"/>
                    <w:autoSpaceDE w:val="0"/>
                    <w:autoSpaceDN w:val="0"/>
                    <w:adjustRightInd w:val="0"/>
                    <w:ind w:left="2376" w:firstLineChars="0" w:hanging="357"/>
                    <w:jc w:val="left"/>
                    <w:textAlignment w:val="baseline"/>
                    <w:rPr>
                      <w:szCs w:val="24"/>
                      <w:lang w:eastAsia="zh-CN"/>
                    </w:rPr>
                  </w:pPr>
                  <w:r w:rsidRPr="0099483F">
                    <w:rPr>
                      <w:szCs w:val="24"/>
                      <w:lang w:eastAsia="zh-CN"/>
                    </w:rPr>
                    <w:t xml:space="preserve">Option 1: No necessity to introduce new requirement for in-channel adjacent subband leakage ratio. </w:t>
                  </w:r>
                </w:p>
                <w:p w14:paraId="77F9C4FB" w14:textId="77777777" w:rsidR="00D6284A" w:rsidRPr="0099483F" w:rsidRDefault="00D6284A" w:rsidP="00D6284A">
                  <w:pPr>
                    <w:pStyle w:val="aff6"/>
                    <w:widowControl/>
                    <w:numPr>
                      <w:ilvl w:val="2"/>
                      <w:numId w:val="12"/>
                    </w:numPr>
                    <w:overflowPunct w:val="0"/>
                    <w:autoSpaceDE w:val="0"/>
                    <w:autoSpaceDN w:val="0"/>
                    <w:adjustRightInd w:val="0"/>
                    <w:ind w:left="2376" w:firstLineChars="0" w:hanging="357"/>
                    <w:jc w:val="left"/>
                    <w:textAlignment w:val="baseline"/>
                    <w:rPr>
                      <w:szCs w:val="24"/>
                      <w:lang w:eastAsia="zh-CN"/>
                    </w:rPr>
                  </w:pPr>
                  <w:r w:rsidRPr="0099483F">
                    <w:rPr>
                      <w:szCs w:val="24"/>
                      <w:lang w:eastAsia="zh-CN"/>
                    </w:rPr>
                    <w:t xml:space="preserve">Option 2: New requirement for in-channel adjacent subband leakage ratio should be defined. </w:t>
                  </w:r>
                </w:p>
                <w:p w14:paraId="4406D2E2" w14:textId="77777777" w:rsidR="00D6284A" w:rsidRPr="003A52D4" w:rsidRDefault="00D6284A" w:rsidP="00D6284A">
                  <w:pPr>
                    <w:pStyle w:val="aff6"/>
                    <w:widowControl/>
                    <w:numPr>
                      <w:ilvl w:val="3"/>
                      <w:numId w:val="12"/>
                    </w:numPr>
                    <w:overflowPunct w:val="0"/>
                    <w:autoSpaceDE w:val="0"/>
                    <w:autoSpaceDN w:val="0"/>
                    <w:adjustRightInd w:val="0"/>
                    <w:ind w:left="3096" w:firstLineChars="0" w:hanging="357"/>
                    <w:jc w:val="left"/>
                    <w:textAlignment w:val="baseline"/>
                    <w:rPr>
                      <w:szCs w:val="24"/>
                      <w:lang w:eastAsia="zh-CN"/>
                    </w:rPr>
                  </w:pPr>
                  <w:r w:rsidRPr="0099483F">
                    <w:rPr>
                      <w:szCs w:val="24"/>
                      <w:lang w:eastAsia="zh-CN"/>
                    </w:rPr>
                    <w:t>Define a requirement on TX sub-band ACLR similar to the ACLR requirement and use existing ACLR requirement as baseline.</w:t>
                  </w:r>
                </w:p>
              </w:tc>
            </w:tr>
          </w:tbl>
          <w:p w14:paraId="0D25304B" w14:textId="77777777" w:rsidR="00D6284A" w:rsidRDefault="00D6284A" w:rsidP="00D6284A">
            <w:pPr>
              <w:spacing w:after="120" w:line="259" w:lineRule="auto"/>
              <w:rPr>
                <w:lang w:val="en-US"/>
              </w:rPr>
            </w:pPr>
          </w:p>
          <w:p w14:paraId="66BA587A" w14:textId="77777777" w:rsidR="00D6284A" w:rsidRPr="00525D11" w:rsidRDefault="00D6284A" w:rsidP="00D6284A">
            <w:pPr>
              <w:spacing w:after="120" w:line="259" w:lineRule="auto"/>
              <w:rPr>
                <w:lang w:val="en-US"/>
              </w:rPr>
            </w:pPr>
            <w:r w:rsidRPr="00525D11">
              <w:rPr>
                <w:lang w:val="en-US"/>
              </w:rPr>
              <w:t xml:space="preserve">Way Forward: </w:t>
            </w:r>
          </w:p>
          <w:p w14:paraId="15E1391C" w14:textId="77777777" w:rsidR="00D6284A" w:rsidRPr="00525D11" w:rsidRDefault="00D6284A" w:rsidP="00D6284A">
            <w:pPr>
              <w:pStyle w:val="aff6"/>
              <w:widowControl/>
              <w:numPr>
                <w:ilvl w:val="0"/>
                <w:numId w:val="12"/>
              </w:numPr>
              <w:spacing w:after="120" w:line="259" w:lineRule="auto"/>
              <w:ind w:left="720" w:firstLineChars="0"/>
              <w:jc w:val="left"/>
              <w:rPr>
                <w:lang w:val="en-US"/>
              </w:rPr>
            </w:pPr>
            <w:r>
              <w:rPr>
                <w:rFonts w:hint="eastAsia"/>
                <w:lang w:val="en-US"/>
              </w:rPr>
              <w:lastRenderedPageBreak/>
              <w:t>F</w:t>
            </w:r>
            <w:r>
              <w:rPr>
                <w:lang w:val="en-US"/>
              </w:rPr>
              <w:t xml:space="preserve">FS based on the way forward approved in RAN4#112. </w:t>
            </w:r>
          </w:p>
          <w:p w14:paraId="7C589327" w14:textId="77777777" w:rsidR="00D6284A" w:rsidRPr="00040D6F" w:rsidRDefault="00D6284A" w:rsidP="00D6284A">
            <w:pPr>
              <w:spacing w:after="120" w:line="259" w:lineRule="auto"/>
              <w:rPr>
                <w:highlight w:val="yellow"/>
                <w:lang w:val="en-US"/>
              </w:rPr>
            </w:pPr>
          </w:p>
          <w:p w14:paraId="6D1230E8" w14:textId="2C3B6710" w:rsidR="00D6284A" w:rsidRPr="00672D85" w:rsidRDefault="00D6284A" w:rsidP="00D6284A">
            <w:pPr>
              <w:pStyle w:val="3"/>
              <w:keepNext/>
              <w:keepLines/>
              <w:numPr>
                <w:ilvl w:val="0"/>
                <w:numId w:val="0"/>
              </w:numPr>
              <w:overflowPunct w:val="0"/>
              <w:autoSpaceDE w:val="0"/>
              <w:autoSpaceDN w:val="0"/>
              <w:adjustRightInd w:val="0"/>
              <w:spacing w:before="120" w:beforeAutospacing="0" w:afterLines="0" w:after="180"/>
              <w:ind w:left="510" w:hanging="510"/>
              <w:textAlignment w:val="baseline"/>
              <w:outlineLvl w:val="2"/>
            </w:pPr>
            <w:r w:rsidRPr="00672D85">
              <w:t>In-channel adjacent subband selectivity/blocking requirements</w:t>
            </w:r>
          </w:p>
          <w:p w14:paraId="6DEB2A4A" w14:textId="7DED991D" w:rsidR="00D6284A" w:rsidRPr="00672D85" w:rsidRDefault="00D6284A" w:rsidP="00D6284A">
            <w:pPr>
              <w:pStyle w:val="5"/>
              <w:ind w:left="1008" w:hanging="1008"/>
              <w:outlineLvl w:val="4"/>
            </w:pPr>
            <w:r w:rsidRPr="00672D85">
              <w:t>Necessity of in-channel adjacent subband selectivity</w:t>
            </w:r>
            <w:r>
              <w:t>/blocking</w:t>
            </w:r>
            <w:r w:rsidRPr="00672D85">
              <w:t xml:space="preserve"> requirements </w:t>
            </w:r>
          </w:p>
          <w:p w14:paraId="71C25C61" w14:textId="77777777" w:rsidR="00D6284A" w:rsidRPr="00525D11" w:rsidRDefault="00D6284A" w:rsidP="00D6284A">
            <w:pPr>
              <w:spacing w:after="120" w:line="259" w:lineRule="auto"/>
              <w:rPr>
                <w:szCs w:val="24"/>
              </w:rPr>
            </w:pPr>
            <w:r w:rsidRPr="00525D11">
              <w:rPr>
                <w:szCs w:val="24"/>
              </w:rPr>
              <w:t xml:space="preserve">[Background] In RAN4#112, the following WF is approved: </w:t>
            </w:r>
          </w:p>
          <w:tbl>
            <w:tblPr>
              <w:tblStyle w:val="af8"/>
              <w:tblW w:w="0" w:type="auto"/>
              <w:tblInd w:w="720" w:type="dxa"/>
              <w:tblLook w:val="04A0" w:firstRow="1" w:lastRow="0" w:firstColumn="1" w:lastColumn="0" w:noHBand="0" w:noVBand="1"/>
            </w:tblPr>
            <w:tblGrid>
              <w:gridCol w:w="8685"/>
            </w:tblGrid>
            <w:tr w:rsidR="00D6284A" w14:paraId="0E2F35B7" w14:textId="77777777" w:rsidTr="00FC1628">
              <w:tc>
                <w:tcPr>
                  <w:tcW w:w="9629" w:type="dxa"/>
                </w:tcPr>
                <w:p w14:paraId="485EED0C" w14:textId="77777777" w:rsidR="00D6284A" w:rsidRDefault="00D6284A" w:rsidP="00D6284A">
                  <w:pPr>
                    <w:pStyle w:val="aff6"/>
                    <w:widowControl/>
                    <w:numPr>
                      <w:ilvl w:val="0"/>
                      <w:numId w:val="12"/>
                    </w:numPr>
                    <w:ind w:left="720" w:firstLineChars="0" w:hanging="357"/>
                    <w:jc w:val="left"/>
                    <w:rPr>
                      <w:szCs w:val="24"/>
                      <w:lang w:eastAsia="zh-CN"/>
                    </w:rPr>
                  </w:pPr>
                  <w:r>
                    <w:rPr>
                      <w:szCs w:val="24"/>
                      <w:lang w:eastAsia="zh-CN"/>
                    </w:rPr>
                    <w:t xml:space="preserve">Way forward: </w:t>
                  </w:r>
                </w:p>
                <w:p w14:paraId="7CB8D047" w14:textId="77777777" w:rsidR="00D6284A" w:rsidRPr="0099483F" w:rsidRDefault="00D6284A" w:rsidP="00D6284A">
                  <w:pPr>
                    <w:pStyle w:val="aff6"/>
                    <w:widowControl/>
                    <w:numPr>
                      <w:ilvl w:val="1"/>
                      <w:numId w:val="12"/>
                    </w:numPr>
                    <w:overflowPunct w:val="0"/>
                    <w:autoSpaceDE w:val="0"/>
                    <w:autoSpaceDN w:val="0"/>
                    <w:adjustRightInd w:val="0"/>
                    <w:ind w:left="1656" w:firstLineChars="0" w:hanging="357"/>
                    <w:jc w:val="left"/>
                    <w:textAlignment w:val="baseline"/>
                    <w:rPr>
                      <w:szCs w:val="24"/>
                      <w:lang w:eastAsia="zh-CN"/>
                    </w:rPr>
                  </w:pPr>
                  <w:r w:rsidRPr="0099483F">
                    <w:rPr>
                      <w:szCs w:val="24"/>
                      <w:lang w:eastAsia="zh-CN"/>
                    </w:rPr>
                    <w:t>FFS the necessity of in-channel adjacent subband selectivity requirements</w:t>
                  </w:r>
                </w:p>
                <w:p w14:paraId="591B3BB6" w14:textId="77777777" w:rsidR="00D6284A" w:rsidRPr="0099483F" w:rsidRDefault="00D6284A" w:rsidP="00D6284A">
                  <w:pPr>
                    <w:pStyle w:val="aff6"/>
                    <w:widowControl/>
                    <w:numPr>
                      <w:ilvl w:val="2"/>
                      <w:numId w:val="12"/>
                    </w:numPr>
                    <w:overflowPunct w:val="0"/>
                    <w:autoSpaceDE w:val="0"/>
                    <w:autoSpaceDN w:val="0"/>
                    <w:adjustRightInd w:val="0"/>
                    <w:ind w:left="2376" w:firstLineChars="0" w:hanging="357"/>
                    <w:jc w:val="left"/>
                    <w:textAlignment w:val="baseline"/>
                    <w:rPr>
                      <w:szCs w:val="24"/>
                      <w:lang w:eastAsia="zh-CN"/>
                    </w:rPr>
                  </w:pPr>
                  <w:r w:rsidRPr="0099483F">
                    <w:rPr>
                      <w:szCs w:val="24"/>
                      <w:lang w:eastAsia="zh-CN"/>
                    </w:rPr>
                    <w:t xml:space="preserve">Option 1: No necessity to introduce new requirement for in-channel adjacent subband selectivity. </w:t>
                  </w:r>
                </w:p>
                <w:p w14:paraId="04CEA224" w14:textId="77777777" w:rsidR="00D6284A" w:rsidRPr="0099483F" w:rsidRDefault="00D6284A" w:rsidP="00D6284A">
                  <w:pPr>
                    <w:pStyle w:val="aff6"/>
                    <w:widowControl/>
                    <w:numPr>
                      <w:ilvl w:val="2"/>
                      <w:numId w:val="12"/>
                    </w:numPr>
                    <w:overflowPunct w:val="0"/>
                    <w:autoSpaceDE w:val="0"/>
                    <w:autoSpaceDN w:val="0"/>
                    <w:adjustRightInd w:val="0"/>
                    <w:ind w:left="2376" w:firstLineChars="0" w:hanging="357"/>
                    <w:jc w:val="left"/>
                    <w:textAlignment w:val="baseline"/>
                    <w:rPr>
                      <w:szCs w:val="24"/>
                      <w:lang w:eastAsia="zh-CN"/>
                    </w:rPr>
                  </w:pPr>
                  <w:r w:rsidRPr="0099483F">
                    <w:rPr>
                      <w:szCs w:val="24"/>
                      <w:lang w:eastAsia="zh-CN"/>
                    </w:rPr>
                    <w:t xml:space="preserve">Option 2: New requirement for in-channel adjacent subband selectivity should be defined. </w:t>
                  </w:r>
                </w:p>
                <w:p w14:paraId="062EFD92" w14:textId="77777777" w:rsidR="00D6284A" w:rsidRDefault="00D6284A" w:rsidP="00D6284A">
                  <w:pPr>
                    <w:pStyle w:val="aff6"/>
                    <w:widowControl/>
                    <w:numPr>
                      <w:ilvl w:val="3"/>
                      <w:numId w:val="12"/>
                    </w:numPr>
                    <w:overflowPunct w:val="0"/>
                    <w:autoSpaceDE w:val="0"/>
                    <w:autoSpaceDN w:val="0"/>
                    <w:adjustRightInd w:val="0"/>
                    <w:ind w:left="3096" w:firstLineChars="0" w:hanging="357"/>
                    <w:jc w:val="left"/>
                    <w:textAlignment w:val="baseline"/>
                    <w:rPr>
                      <w:szCs w:val="24"/>
                      <w:lang w:eastAsia="zh-CN"/>
                    </w:rPr>
                  </w:pPr>
                  <w:r w:rsidRPr="0099483F">
                    <w:rPr>
                      <w:szCs w:val="24"/>
                      <w:lang w:eastAsia="zh-CN"/>
                    </w:rPr>
                    <w:t>Define a requirement on RX sub-band ACS similar to the ACS requirement and use existing ACS requirement as baseline.</w:t>
                  </w:r>
                </w:p>
                <w:p w14:paraId="53C2903F" w14:textId="77777777" w:rsidR="00D6284A" w:rsidRDefault="00D6284A" w:rsidP="00D6284A">
                  <w:pPr>
                    <w:pStyle w:val="aff6"/>
                    <w:widowControl/>
                    <w:numPr>
                      <w:ilvl w:val="0"/>
                      <w:numId w:val="12"/>
                    </w:numPr>
                    <w:ind w:left="720" w:firstLineChars="0" w:hanging="357"/>
                    <w:jc w:val="left"/>
                    <w:rPr>
                      <w:szCs w:val="24"/>
                      <w:lang w:eastAsia="zh-CN"/>
                    </w:rPr>
                  </w:pPr>
                  <w:r>
                    <w:rPr>
                      <w:szCs w:val="24"/>
                      <w:lang w:eastAsia="zh-CN"/>
                    </w:rPr>
                    <w:t xml:space="preserve">Way forward: </w:t>
                  </w:r>
                </w:p>
                <w:p w14:paraId="6A24A24B" w14:textId="77777777" w:rsidR="00D6284A" w:rsidRPr="0099483F" w:rsidRDefault="00D6284A" w:rsidP="00D6284A">
                  <w:pPr>
                    <w:pStyle w:val="aff6"/>
                    <w:widowControl/>
                    <w:numPr>
                      <w:ilvl w:val="1"/>
                      <w:numId w:val="12"/>
                    </w:numPr>
                    <w:overflowPunct w:val="0"/>
                    <w:autoSpaceDE w:val="0"/>
                    <w:autoSpaceDN w:val="0"/>
                    <w:adjustRightInd w:val="0"/>
                    <w:ind w:left="1656" w:firstLineChars="0" w:hanging="357"/>
                    <w:jc w:val="left"/>
                    <w:textAlignment w:val="baseline"/>
                    <w:rPr>
                      <w:szCs w:val="24"/>
                      <w:lang w:eastAsia="zh-CN"/>
                    </w:rPr>
                  </w:pPr>
                  <w:r w:rsidRPr="0099483F">
                    <w:rPr>
                      <w:szCs w:val="24"/>
                      <w:lang w:eastAsia="zh-CN"/>
                    </w:rPr>
                    <w:t xml:space="preserve">FFS the necessity of in-channel adjacent subband </w:t>
                  </w:r>
                  <w:r w:rsidRPr="0099483F">
                    <w:rPr>
                      <w:lang w:val="en-US"/>
                    </w:rPr>
                    <w:t xml:space="preserve">blocking </w:t>
                  </w:r>
                  <w:r w:rsidRPr="0099483F">
                    <w:rPr>
                      <w:szCs w:val="24"/>
                      <w:lang w:eastAsia="zh-CN"/>
                    </w:rPr>
                    <w:t>requirements</w:t>
                  </w:r>
                </w:p>
                <w:p w14:paraId="1A72F62F" w14:textId="77777777" w:rsidR="00D6284A" w:rsidRPr="0099483F" w:rsidRDefault="00D6284A" w:rsidP="00D6284A">
                  <w:pPr>
                    <w:pStyle w:val="aff6"/>
                    <w:widowControl/>
                    <w:numPr>
                      <w:ilvl w:val="2"/>
                      <w:numId w:val="12"/>
                    </w:numPr>
                    <w:overflowPunct w:val="0"/>
                    <w:autoSpaceDE w:val="0"/>
                    <w:autoSpaceDN w:val="0"/>
                    <w:adjustRightInd w:val="0"/>
                    <w:ind w:left="2376" w:firstLineChars="0" w:hanging="357"/>
                    <w:jc w:val="left"/>
                    <w:textAlignment w:val="baseline"/>
                    <w:rPr>
                      <w:szCs w:val="24"/>
                      <w:lang w:eastAsia="zh-CN"/>
                    </w:rPr>
                  </w:pPr>
                  <w:r w:rsidRPr="0099483F">
                    <w:rPr>
                      <w:szCs w:val="24"/>
                      <w:lang w:eastAsia="zh-CN"/>
                    </w:rPr>
                    <w:t xml:space="preserve">Option 1: No necessity to introduce new requirement for in-channel adjacent subband blocking. </w:t>
                  </w:r>
                </w:p>
                <w:p w14:paraId="475B21DF" w14:textId="77777777" w:rsidR="00D6284A" w:rsidRPr="007025D2" w:rsidRDefault="00D6284A" w:rsidP="00D6284A">
                  <w:pPr>
                    <w:pStyle w:val="aff6"/>
                    <w:widowControl/>
                    <w:numPr>
                      <w:ilvl w:val="2"/>
                      <w:numId w:val="12"/>
                    </w:numPr>
                    <w:overflowPunct w:val="0"/>
                    <w:autoSpaceDE w:val="0"/>
                    <w:autoSpaceDN w:val="0"/>
                    <w:adjustRightInd w:val="0"/>
                    <w:ind w:left="2376" w:firstLineChars="0" w:hanging="357"/>
                    <w:jc w:val="left"/>
                    <w:textAlignment w:val="baseline"/>
                    <w:rPr>
                      <w:szCs w:val="24"/>
                      <w:lang w:eastAsia="zh-CN"/>
                    </w:rPr>
                  </w:pPr>
                  <w:r w:rsidRPr="0099483F">
                    <w:rPr>
                      <w:szCs w:val="24"/>
                      <w:lang w:eastAsia="zh-CN"/>
                    </w:rPr>
                    <w:t xml:space="preserve">Option 2: New requirement for in-channel adjacent subband blocking should be defined. </w:t>
                  </w:r>
                </w:p>
              </w:tc>
            </w:tr>
          </w:tbl>
          <w:p w14:paraId="442C6ED1" w14:textId="77777777" w:rsidR="00D6284A" w:rsidRDefault="00D6284A" w:rsidP="00D6284A">
            <w:pPr>
              <w:spacing w:after="120" w:line="259" w:lineRule="auto"/>
              <w:rPr>
                <w:lang w:val="en-US"/>
              </w:rPr>
            </w:pPr>
          </w:p>
          <w:p w14:paraId="77A430BF" w14:textId="77777777" w:rsidR="00D6284A" w:rsidRPr="00525D11" w:rsidRDefault="00D6284A" w:rsidP="00D6284A">
            <w:pPr>
              <w:spacing w:after="120" w:line="259" w:lineRule="auto"/>
              <w:rPr>
                <w:lang w:val="en-US"/>
              </w:rPr>
            </w:pPr>
            <w:r w:rsidRPr="00525D11">
              <w:rPr>
                <w:lang w:val="en-US"/>
              </w:rPr>
              <w:t xml:space="preserve">Way Forward: </w:t>
            </w:r>
          </w:p>
          <w:p w14:paraId="70EF1402" w14:textId="77777777" w:rsidR="00D6284A" w:rsidRDefault="00D6284A" w:rsidP="00D6284A">
            <w:pPr>
              <w:pStyle w:val="aff6"/>
              <w:widowControl/>
              <w:numPr>
                <w:ilvl w:val="0"/>
                <w:numId w:val="12"/>
              </w:numPr>
              <w:spacing w:after="120" w:line="259" w:lineRule="auto"/>
              <w:ind w:left="720" w:firstLineChars="0"/>
              <w:jc w:val="left"/>
              <w:rPr>
                <w:lang w:val="en-US"/>
              </w:rPr>
            </w:pPr>
            <w:r>
              <w:rPr>
                <w:rFonts w:hint="eastAsia"/>
                <w:lang w:val="en-US"/>
              </w:rPr>
              <w:t>F</w:t>
            </w:r>
            <w:r>
              <w:rPr>
                <w:lang w:val="en-US"/>
              </w:rPr>
              <w:t xml:space="preserve">FS based on the way forward approved in RAN4#112. </w:t>
            </w:r>
          </w:p>
          <w:p w14:paraId="7E044887" w14:textId="7123B064" w:rsidR="0067071C" w:rsidRPr="00D6284A" w:rsidRDefault="00D6284A" w:rsidP="00D6284A">
            <w:pPr>
              <w:pStyle w:val="aff6"/>
              <w:widowControl/>
              <w:numPr>
                <w:ilvl w:val="1"/>
                <w:numId w:val="12"/>
              </w:numPr>
              <w:spacing w:after="120" w:line="259" w:lineRule="auto"/>
              <w:ind w:left="1656" w:firstLineChars="0"/>
              <w:jc w:val="left"/>
              <w:rPr>
                <w:lang w:val="en-US"/>
              </w:rPr>
            </w:pPr>
            <w:r>
              <w:rPr>
                <w:rFonts w:hint="eastAsia"/>
                <w:lang w:val="en-US"/>
              </w:rPr>
              <w:t>C</w:t>
            </w:r>
            <w:r>
              <w:rPr>
                <w:lang w:val="en-US"/>
              </w:rPr>
              <w:t>onsider the possibility of specifying RX requirement to cover both i</w:t>
            </w:r>
            <w:r w:rsidRPr="007025D2">
              <w:rPr>
                <w:lang w:val="en-US"/>
              </w:rPr>
              <w:t>n-channel adjacent subband selectivity/blocking requirements</w:t>
            </w:r>
          </w:p>
        </w:tc>
      </w:tr>
    </w:tbl>
    <w:p w14:paraId="1EDF61DA" w14:textId="7F0503F7" w:rsidR="00F5272D" w:rsidRDefault="00F72EAC" w:rsidP="00F72EAC">
      <w:pPr>
        <w:jc w:val="both"/>
      </w:pPr>
      <w:r>
        <w:lastRenderedPageBreak/>
        <w:t xml:space="preserve">In this contribution, we would like to share our views regarding </w:t>
      </w:r>
      <w:r w:rsidR="002C39B0">
        <w:t>this topic</w:t>
      </w:r>
      <w:r>
        <w:t>.</w:t>
      </w:r>
    </w:p>
    <w:p w14:paraId="3FE766A4" w14:textId="08448564" w:rsidR="00524ACD" w:rsidRDefault="00062E8E" w:rsidP="00524ACD">
      <w:pPr>
        <w:pStyle w:val="1"/>
        <w:spacing w:after="240"/>
        <w:rPr>
          <w:rFonts w:eastAsia="宋体"/>
          <w:lang w:eastAsia="zh-CN"/>
        </w:rPr>
      </w:pPr>
      <w:r>
        <w:rPr>
          <w:rFonts w:eastAsia="宋体" w:hint="eastAsia"/>
          <w:lang w:eastAsia="zh-CN"/>
        </w:rPr>
        <w:t>Discussion</w:t>
      </w:r>
    </w:p>
    <w:p w14:paraId="7AE1C73C" w14:textId="46EB4EFA" w:rsidR="005114B4" w:rsidRDefault="005114B4" w:rsidP="005114B4">
      <w:pPr>
        <w:pStyle w:val="2"/>
        <w:spacing w:after="240"/>
      </w:pPr>
      <w:r>
        <w:t xml:space="preserve">The </w:t>
      </w:r>
      <w:r w:rsidR="00FB06BE">
        <w:t>requirement for transient period for SBFD</w:t>
      </w:r>
    </w:p>
    <w:p w14:paraId="4A7989AA" w14:textId="096B15AE" w:rsidR="00F75D1C" w:rsidRDefault="005A341D" w:rsidP="00903F53">
      <w:pPr>
        <w:jc w:val="both"/>
      </w:pPr>
      <w:r>
        <w:t xml:space="preserve">In previous meeting, </w:t>
      </w:r>
      <w:r w:rsidR="002B6E15">
        <w:t xml:space="preserve">a </w:t>
      </w:r>
      <w:r>
        <w:t>conclusion on this issue was achieved</w:t>
      </w:r>
      <w:r w:rsidR="00EC1F5F">
        <w:t>. While there will be t</w:t>
      </w:r>
      <w:r w:rsidR="00EC1F5F" w:rsidRPr="00EC1F5F">
        <w:t>ransient period between SBFD and non-SBFD</w:t>
      </w:r>
      <w:r w:rsidR="00EC1F5F">
        <w:t xml:space="preserve"> slot, </w:t>
      </w:r>
      <w:r w:rsidR="00B46FD3">
        <w:t xml:space="preserve">it is no need to </w:t>
      </w:r>
      <w:r w:rsidR="00B46FD3" w:rsidRPr="00A9520A">
        <w:rPr>
          <w:lang w:val="en-AU"/>
        </w:rPr>
        <w:t>specify transmitter transient period requirement between different SBFD configurations</w:t>
      </w:r>
      <w:r w:rsidR="00B46FD3">
        <w:rPr>
          <w:lang w:val="en-AU"/>
        </w:rPr>
        <w:t xml:space="preserve">. The remaining issue is to determine where the transient period will be. Our preference is to select SBFD slot to accommodate the transient period for the necessary </w:t>
      </w:r>
      <w:r w:rsidR="00B46FD3">
        <w:rPr>
          <w:szCs w:val="24"/>
          <w:lang w:val="en-US"/>
        </w:rPr>
        <w:t xml:space="preserve">RF resource rearrangement, so the TDD slot can be intact.   </w:t>
      </w:r>
      <w:r w:rsidR="00B46FD3">
        <w:rPr>
          <w:lang w:val="en-AU"/>
        </w:rPr>
        <w:t xml:space="preserve"> </w:t>
      </w:r>
    </w:p>
    <w:p w14:paraId="3A566707" w14:textId="4D3146D7" w:rsidR="00903F53" w:rsidRPr="00B46FD3" w:rsidRDefault="00903F53" w:rsidP="00B46FD3">
      <w:pPr>
        <w:jc w:val="both"/>
        <w:rPr>
          <w:b/>
          <w:i/>
        </w:rPr>
      </w:pPr>
      <w:r>
        <w:rPr>
          <w:b/>
          <w:i/>
        </w:rPr>
        <w:t xml:space="preserve">Proposal 1: </w:t>
      </w:r>
      <w:r w:rsidR="00B46FD3" w:rsidRPr="00B46FD3">
        <w:rPr>
          <w:b/>
          <w:i/>
        </w:rPr>
        <w:t xml:space="preserve">The location of transient period between SBFD and non-SBFD shall be located within the SBFD slot/symbol. </w:t>
      </w:r>
    </w:p>
    <w:p w14:paraId="1AAEBA5C" w14:textId="77777777" w:rsidR="000A2099" w:rsidRDefault="000A2099" w:rsidP="009B7DF8">
      <w:pPr>
        <w:jc w:val="both"/>
      </w:pPr>
    </w:p>
    <w:p w14:paraId="16BC3674" w14:textId="18A793B7" w:rsidR="000B2DA5" w:rsidRDefault="000B2DA5" w:rsidP="000B2DA5">
      <w:pPr>
        <w:pStyle w:val="2"/>
        <w:spacing w:after="240"/>
      </w:pPr>
      <w:r>
        <w:t>In-channel adjacent subband requirement for SBFD</w:t>
      </w:r>
    </w:p>
    <w:p w14:paraId="65CCDE80" w14:textId="38ACDD7E" w:rsidR="00E71A93" w:rsidRDefault="00E71A93" w:rsidP="009B7DF8">
      <w:pPr>
        <w:jc w:val="both"/>
      </w:pPr>
      <w:r>
        <w:t>On one hand, we do share the understanding that in-channel adjacent subband requirement could be needed in order to guarantee certain performance level under self-interference. On the other hand, the potential solutions to overcome that would highly depend on vendors but very hard to be reflected in this</w:t>
      </w:r>
      <w:r w:rsidR="006918D8">
        <w:t xml:space="preserve"> new</w:t>
      </w:r>
      <w:r>
        <w:t xml:space="preserve"> requirement since it must be based on specific implementation assumptions. Somehow, the REFSENS requirement for SBFD will reflect the expected suppression on the self-interference </w:t>
      </w:r>
      <w:r w:rsidR="00FA6A9C">
        <w:t>from</w:t>
      </w:r>
      <w:r>
        <w:t xml:space="preserve"> feasible solutions.</w:t>
      </w:r>
    </w:p>
    <w:p w14:paraId="07EA3374" w14:textId="5F784897" w:rsidR="000B2DA5" w:rsidRDefault="00E71A93" w:rsidP="009B7DF8">
      <w:pPr>
        <w:jc w:val="both"/>
      </w:pPr>
      <w:r>
        <w:rPr>
          <w:b/>
          <w:i/>
        </w:rPr>
        <w:lastRenderedPageBreak/>
        <w:t>Observation</w:t>
      </w:r>
      <w:r w:rsidR="003A5311">
        <w:rPr>
          <w:b/>
          <w:i/>
        </w:rPr>
        <w:t xml:space="preserve"> 1</w:t>
      </w:r>
      <w:r>
        <w:rPr>
          <w:b/>
          <w:i/>
        </w:rPr>
        <w:t xml:space="preserve">: For </w:t>
      </w:r>
      <w:r w:rsidRPr="00E71A93">
        <w:rPr>
          <w:b/>
          <w:i/>
        </w:rPr>
        <w:t>in-channel adjacent subband leakage ratio</w:t>
      </w:r>
      <w:r>
        <w:rPr>
          <w:b/>
          <w:i/>
        </w:rPr>
        <w:t xml:space="preserve"> derivation, i</w:t>
      </w:r>
      <w:r w:rsidRPr="00E71A93">
        <w:rPr>
          <w:b/>
          <w:i/>
        </w:rPr>
        <w:t>t is difficult for RAN4 to agree on a reference scheme fo</w:t>
      </w:r>
      <w:r>
        <w:rPr>
          <w:b/>
          <w:i/>
        </w:rPr>
        <w:t>r self-interference suppression.</w:t>
      </w:r>
      <w:r w:rsidR="00BA2143">
        <w:rPr>
          <w:b/>
          <w:i/>
        </w:rPr>
        <w:t xml:space="preserve"> While the REFSENS for SBFD will reflect such suppression to some extent.</w:t>
      </w:r>
    </w:p>
    <w:p w14:paraId="3EC49606" w14:textId="5DB85395" w:rsidR="000B2DA5" w:rsidRDefault="006918D8" w:rsidP="009B7DF8">
      <w:pPr>
        <w:jc w:val="both"/>
      </w:pPr>
      <w:r>
        <w:t xml:space="preserve">We also have similar feelings for other intra-operator gNB-gNB interference e.g. inter-site or co-site inter-sector cases. It could be hard to align companies understanding regarding power level, interference handling solutions or other issues that will also be involved not only in requirements derivation but also in test setup.  </w:t>
      </w:r>
    </w:p>
    <w:p w14:paraId="03916043" w14:textId="4F0272C5" w:rsidR="006918D8" w:rsidRDefault="00FA6A9C" w:rsidP="009B7DF8">
      <w:pPr>
        <w:jc w:val="both"/>
      </w:pPr>
      <w:r>
        <w:rPr>
          <w:b/>
          <w:i/>
        </w:rPr>
        <w:t xml:space="preserve">Proposal 2: </w:t>
      </w:r>
      <w:r w:rsidR="007F5139">
        <w:rPr>
          <w:b/>
          <w:i/>
        </w:rPr>
        <w:t xml:space="preserve">Prefer not to introduce new requirement for </w:t>
      </w:r>
      <w:r w:rsidR="007F5139" w:rsidRPr="007F5139">
        <w:rPr>
          <w:b/>
          <w:i/>
        </w:rPr>
        <w:t>in-channel adjacent subband leakage ratio</w:t>
      </w:r>
      <w:r>
        <w:rPr>
          <w:b/>
          <w:i/>
        </w:rPr>
        <w:t>.</w:t>
      </w:r>
    </w:p>
    <w:p w14:paraId="7B26A83A" w14:textId="15001134" w:rsidR="006918D8" w:rsidRDefault="00FA6A9C" w:rsidP="009B7DF8">
      <w:pPr>
        <w:jc w:val="both"/>
      </w:pPr>
      <w:r>
        <w:rPr>
          <w:b/>
          <w:i/>
        </w:rPr>
        <w:t xml:space="preserve">Proposal 3: </w:t>
      </w:r>
      <w:r w:rsidR="007F5139">
        <w:rPr>
          <w:b/>
          <w:i/>
        </w:rPr>
        <w:t xml:space="preserve">Prefer not to introduce new requirement for </w:t>
      </w:r>
      <w:r w:rsidR="007F5139" w:rsidRPr="007F5139">
        <w:rPr>
          <w:b/>
          <w:i/>
        </w:rPr>
        <w:t xml:space="preserve">in-channel adjacent subband </w:t>
      </w:r>
      <w:r w:rsidR="007F5139">
        <w:rPr>
          <w:b/>
          <w:i/>
        </w:rPr>
        <w:t>selectivity or blocking</w:t>
      </w:r>
      <w:r w:rsidR="007F5139">
        <w:rPr>
          <w:rFonts w:hint="eastAsia"/>
          <w:b/>
          <w:i/>
        </w:rPr>
        <w:t>.</w:t>
      </w:r>
    </w:p>
    <w:p w14:paraId="4EF0019A" w14:textId="77777777" w:rsidR="00903F53" w:rsidRDefault="00903F53" w:rsidP="008575B1">
      <w:pPr>
        <w:jc w:val="both"/>
        <w:rPr>
          <w:b/>
          <w:i/>
        </w:rPr>
      </w:pPr>
    </w:p>
    <w:p w14:paraId="5D60F850" w14:textId="0D8B90CD" w:rsidR="0083406E" w:rsidRDefault="0083406E" w:rsidP="0083406E">
      <w:pPr>
        <w:pStyle w:val="2"/>
        <w:spacing w:after="240"/>
      </w:pPr>
      <w:r>
        <w:t>On the potential RAN4 impact for UL resource muting</w:t>
      </w:r>
    </w:p>
    <w:p w14:paraId="2A03B8A6" w14:textId="5116936B" w:rsidR="0083406E" w:rsidRDefault="0084780F" w:rsidP="008575B1">
      <w:pPr>
        <w:jc w:val="both"/>
      </w:pPr>
      <w:r w:rsidRPr="00E7090C">
        <w:t>According to the WID [</w:t>
      </w:r>
      <w:r w:rsidR="00415EED" w:rsidRPr="00E7090C">
        <w:t>2</w:t>
      </w:r>
      <w:r w:rsidRPr="00E7090C">
        <w:t xml:space="preserve">], </w:t>
      </w:r>
      <w:r w:rsidR="00E7090C">
        <w:t>the potential transmit signal quality/MPR requirement impact due to UL resource muting will be checked. Details on this CLI handling solution are reproduced from WID as follows.</w:t>
      </w:r>
    </w:p>
    <w:p w14:paraId="6A224F8D" w14:textId="047B0D24" w:rsidR="00E7090C" w:rsidRDefault="00E7090C" w:rsidP="00E7090C">
      <w:pPr>
        <w:jc w:val="center"/>
      </w:pPr>
      <w:r>
        <w:rPr>
          <w:noProof/>
          <w:lang w:val="en-US"/>
        </w:rPr>
        <w:drawing>
          <wp:inline distT="0" distB="0" distL="0" distR="0" wp14:anchorId="7FB3CAF5" wp14:editId="0476C41D">
            <wp:extent cx="3475586" cy="890437"/>
            <wp:effectExtent l="114300" t="76200" r="106045" b="812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03035" cy="897469"/>
                    </a:xfrm>
                    <a:prstGeom prst="rect">
                      <a:avLst/>
                    </a:prstGeom>
                    <a:effectLst>
                      <a:outerShdw blurRad="63500" sx="102000" sy="102000" algn="ctr" rotWithShape="0">
                        <a:prstClr val="black">
                          <a:alpha val="40000"/>
                        </a:prstClr>
                      </a:outerShdw>
                    </a:effectLst>
                  </pic:spPr>
                </pic:pic>
              </a:graphicData>
            </a:graphic>
          </wp:inline>
        </w:drawing>
      </w:r>
    </w:p>
    <w:p w14:paraId="176E79CA" w14:textId="41AFFD4F" w:rsidR="00E7090C" w:rsidRPr="00E7090C" w:rsidRDefault="00FD4C27" w:rsidP="00BF74B4">
      <w:pPr>
        <w:jc w:val="both"/>
      </w:pPr>
      <w:r>
        <w:t xml:space="preserve">To our understanding, </w:t>
      </w:r>
      <w:r w:rsidR="0089180C">
        <w:t xml:space="preserve">this technique </w:t>
      </w:r>
      <w:r w:rsidR="00BF74B4">
        <w:t xml:space="preserve">would have no impact to the existing transmit quality/MPR requirement. The reason is </w:t>
      </w:r>
      <w:r w:rsidR="003A5311">
        <w:t xml:space="preserve">comb pattern is nothing new from Rel-15. For instance, DMRS multiplexing is specified but there is no dedicated minimum RF requirement for it so that doesn’t mean a UE can meet the aforementioned RF requirements may fail the very same requirements when transmission in comb pattern is scheduled. Further, if the total transmission power remain the same, which is already supported by 3dB power boosting as specified in the spec, there is no performance loss can be expected, either. </w:t>
      </w:r>
      <w:r w:rsidR="00BF74B4">
        <w:t xml:space="preserve">However, we can provide simulation results based on further RAN1 inputs on the simulation assumptions if possible.    </w:t>
      </w:r>
    </w:p>
    <w:p w14:paraId="3E3EB80D" w14:textId="4B52695D" w:rsidR="0083406E" w:rsidRDefault="003A5311" w:rsidP="008575B1">
      <w:pPr>
        <w:jc w:val="both"/>
        <w:rPr>
          <w:b/>
          <w:i/>
        </w:rPr>
      </w:pPr>
      <w:r>
        <w:rPr>
          <w:b/>
          <w:i/>
        </w:rPr>
        <w:t xml:space="preserve">Observation 2: </w:t>
      </w:r>
      <w:r w:rsidR="00DB1958">
        <w:rPr>
          <w:b/>
          <w:i/>
        </w:rPr>
        <w:t>For UL resource muting, there is no transmit quality or MPR requirement impact can be identified for PUSCH as the spec is already support DMRS multiplexing as the data could be mapped according to comb-2 pattern. Further measurements or simulation can be conducted if RAN1 inputs on necessary assumptions is possible.</w:t>
      </w:r>
    </w:p>
    <w:p w14:paraId="0727B1AE" w14:textId="77777777" w:rsidR="0083406E" w:rsidRDefault="0083406E" w:rsidP="008575B1">
      <w:pPr>
        <w:jc w:val="both"/>
        <w:rPr>
          <w:b/>
          <w:i/>
        </w:rPr>
      </w:pPr>
    </w:p>
    <w:p w14:paraId="6BCF785E" w14:textId="77777777" w:rsidR="0083406E" w:rsidRPr="008575B1" w:rsidRDefault="0083406E" w:rsidP="008575B1">
      <w:pPr>
        <w:jc w:val="both"/>
        <w:rPr>
          <w:b/>
          <w:i/>
        </w:rPr>
      </w:pP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1E84FE6F" w14:textId="2508D595" w:rsidR="00A02B3E" w:rsidRDefault="00AB1467" w:rsidP="00AA2D97">
      <w:pPr>
        <w:jc w:val="both"/>
      </w:pPr>
      <w:r w:rsidRPr="00086BFD">
        <w:t>In this contribution we discussed</w:t>
      </w:r>
      <w:r>
        <w:rPr>
          <w:rFonts w:hint="eastAsia"/>
        </w:rPr>
        <w:t xml:space="preserve"> </w:t>
      </w:r>
      <w:r w:rsidRPr="00086BFD">
        <w:t>on the</w:t>
      </w:r>
      <w:r>
        <w:t xml:space="preserve"> </w:t>
      </w:r>
      <w:r w:rsidR="00FA59DC">
        <w:t>general aspects</w:t>
      </w:r>
      <w:r w:rsidR="00501734">
        <w:t xml:space="preserve"> for </w:t>
      </w:r>
      <w:r w:rsidR="00A02B3E">
        <w:t>SBFD</w:t>
      </w:r>
      <w:r w:rsidR="007265B2">
        <w:t>.</w:t>
      </w:r>
      <w:r w:rsidRPr="00086BFD">
        <w:t xml:space="preserve"> </w:t>
      </w:r>
      <w:r w:rsidR="00796C4E">
        <w:t>W</w:t>
      </w:r>
      <w:r w:rsidRPr="00086BFD">
        <w:t>e have the following</w:t>
      </w:r>
      <w:r w:rsidR="00893344">
        <w:t xml:space="preserve"> observation and</w:t>
      </w:r>
      <w:r w:rsidR="00312E2F">
        <w:t xml:space="preserve"> </w:t>
      </w:r>
      <w:r w:rsidRPr="00086BFD">
        <w:t>proposal</w:t>
      </w:r>
      <w:r w:rsidR="00C854F5">
        <w:t>s</w:t>
      </w:r>
      <w:r w:rsidRPr="00086BFD">
        <w:t>:</w:t>
      </w:r>
    </w:p>
    <w:p w14:paraId="582DBD11" w14:textId="77777777" w:rsidR="006F2DB8" w:rsidRDefault="006F2DB8" w:rsidP="007F5139">
      <w:pPr>
        <w:jc w:val="both"/>
        <w:rPr>
          <w:b/>
          <w:i/>
        </w:rPr>
      </w:pPr>
      <w:r>
        <w:rPr>
          <w:b/>
          <w:i/>
        </w:rPr>
        <w:t xml:space="preserve">Observation 1: For </w:t>
      </w:r>
      <w:r w:rsidRPr="00E71A93">
        <w:rPr>
          <w:b/>
          <w:i/>
        </w:rPr>
        <w:t>in-channel adjacent subband leakage ratio</w:t>
      </w:r>
      <w:r>
        <w:rPr>
          <w:b/>
          <w:i/>
        </w:rPr>
        <w:t xml:space="preserve"> derivation, i</w:t>
      </w:r>
      <w:r w:rsidRPr="00E71A93">
        <w:rPr>
          <w:b/>
          <w:i/>
        </w:rPr>
        <w:t>t is difficult for RAN4 to agree on a reference scheme fo</w:t>
      </w:r>
      <w:r>
        <w:rPr>
          <w:b/>
          <w:i/>
        </w:rPr>
        <w:t>r self-interference suppression. While the REFSENS for SBFD will reflect such suppression to some extent.</w:t>
      </w:r>
    </w:p>
    <w:p w14:paraId="65D3D8B8" w14:textId="77777777" w:rsidR="006F2DB8" w:rsidRDefault="006F2DB8" w:rsidP="006F2DB8">
      <w:pPr>
        <w:jc w:val="both"/>
        <w:rPr>
          <w:b/>
          <w:i/>
        </w:rPr>
      </w:pPr>
      <w:r>
        <w:rPr>
          <w:b/>
          <w:i/>
        </w:rPr>
        <w:t>Observation 2: For UL resource muting, there is no transmit quality or MPR requirement impact can be identified for PUSCH as the spec is already support DMRS multiplexing as the data could be mapped according to comb-2 pattern. Further measurements or simulation can be conducted if RAN1 inputs on necessary assumptions is possible.</w:t>
      </w:r>
    </w:p>
    <w:p w14:paraId="3D7DCFA4" w14:textId="77777777" w:rsidR="006F2DB8" w:rsidRDefault="006F2DB8" w:rsidP="007F5139">
      <w:pPr>
        <w:jc w:val="both"/>
        <w:rPr>
          <w:b/>
          <w:i/>
        </w:rPr>
      </w:pPr>
    </w:p>
    <w:p w14:paraId="3E9DB1A3" w14:textId="77777777" w:rsidR="006F2DB8" w:rsidRDefault="006F2DB8" w:rsidP="007F5139">
      <w:pPr>
        <w:jc w:val="both"/>
        <w:rPr>
          <w:b/>
          <w:i/>
        </w:rPr>
      </w:pPr>
      <w:r>
        <w:rPr>
          <w:b/>
          <w:i/>
        </w:rPr>
        <w:t xml:space="preserve">Proposal 1: </w:t>
      </w:r>
      <w:r w:rsidRPr="00B46FD3">
        <w:rPr>
          <w:b/>
          <w:i/>
        </w:rPr>
        <w:t>The location of transient period between SBFD and non-SBFD shall be located within the SBFD slot/symbol.</w:t>
      </w:r>
    </w:p>
    <w:p w14:paraId="226A9AB7" w14:textId="42B47FAC" w:rsidR="007F5139" w:rsidRDefault="007F5139" w:rsidP="007F5139">
      <w:pPr>
        <w:jc w:val="both"/>
      </w:pPr>
      <w:r>
        <w:rPr>
          <w:b/>
          <w:i/>
        </w:rPr>
        <w:t xml:space="preserve">Proposal 2: Prefer not to introduce new requirement for </w:t>
      </w:r>
      <w:r w:rsidRPr="007F5139">
        <w:rPr>
          <w:b/>
          <w:i/>
        </w:rPr>
        <w:t>in-channel adjacent subband leakage ratio</w:t>
      </w:r>
      <w:r>
        <w:rPr>
          <w:b/>
          <w:i/>
        </w:rPr>
        <w:t>.</w:t>
      </w:r>
    </w:p>
    <w:p w14:paraId="6EBE3386" w14:textId="77777777" w:rsidR="007F5139" w:rsidRDefault="007F5139" w:rsidP="007F5139">
      <w:pPr>
        <w:jc w:val="both"/>
      </w:pPr>
      <w:r>
        <w:rPr>
          <w:b/>
          <w:i/>
        </w:rPr>
        <w:lastRenderedPageBreak/>
        <w:t xml:space="preserve">Proposal 3: Prefer not to introduce new requirement for </w:t>
      </w:r>
      <w:r w:rsidRPr="007F5139">
        <w:rPr>
          <w:b/>
          <w:i/>
        </w:rPr>
        <w:t xml:space="preserve">in-channel adjacent subband </w:t>
      </w:r>
      <w:r>
        <w:rPr>
          <w:b/>
          <w:i/>
        </w:rPr>
        <w:t>selectivity or blocking</w:t>
      </w:r>
      <w:r>
        <w:rPr>
          <w:rFonts w:hint="eastAsia"/>
          <w:b/>
          <w:i/>
        </w:rPr>
        <w:t>.</w:t>
      </w:r>
    </w:p>
    <w:p w14:paraId="18CB83EC" w14:textId="77777777" w:rsidR="00472976" w:rsidRPr="00472976" w:rsidRDefault="00472976" w:rsidP="00AA2D97">
      <w:pPr>
        <w:jc w:val="both"/>
        <w:rPr>
          <w:b/>
          <w:i/>
        </w:rPr>
      </w:pPr>
    </w:p>
    <w:p w14:paraId="6E4DEA30" w14:textId="77777777" w:rsidR="00B22DA6" w:rsidRDefault="00B22DA6" w:rsidP="00B22DA6">
      <w:pPr>
        <w:pStyle w:val="1"/>
        <w:numPr>
          <w:ilvl w:val="0"/>
          <w:numId w:val="0"/>
        </w:numPr>
        <w:rPr>
          <w:rFonts w:eastAsia="宋体"/>
          <w:lang w:eastAsia="zh-CN"/>
        </w:rPr>
      </w:pPr>
      <w:r>
        <w:t>References</w:t>
      </w:r>
    </w:p>
    <w:p w14:paraId="169C776E" w14:textId="4740E99F" w:rsidR="0067071C" w:rsidRPr="00B50B32" w:rsidRDefault="00BE223D" w:rsidP="00F81746">
      <w:pPr>
        <w:numPr>
          <w:ilvl w:val="0"/>
          <w:numId w:val="10"/>
        </w:numPr>
        <w:tabs>
          <w:tab w:val="clear" w:pos="720"/>
          <w:tab w:val="num" w:pos="426"/>
        </w:tabs>
        <w:overflowPunct/>
        <w:autoSpaceDE/>
        <w:autoSpaceDN/>
        <w:adjustRightInd/>
        <w:ind w:left="426" w:hanging="426"/>
        <w:jc w:val="both"/>
        <w:textAlignment w:val="auto"/>
      </w:pPr>
      <w:r>
        <w:t>R</w:t>
      </w:r>
      <w:r w:rsidR="0067071C">
        <w:t>4</w:t>
      </w:r>
      <w:r w:rsidR="00212750">
        <w:t>-</w:t>
      </w:r>
      <w:r w:rsidR="003912D4">
        <w:t xml:space="preserve">2416584, </w:t>
      </w:r>
      <w:r w:rsidR="003912D4" w:rsidRPr="001D14BB">
        <w:t>“</w:t>
      </w:r>
      <w:r w:rsidR="003912D4" w:rsidRPr="000669F9">
        <w:t xml:space="preserve">Way Forward for </w:t>
      </w:r>
      <w:r w:rsidR="003912D4" w:rsidRPr="00C36C43">
        <w:t>[</w:t>
      </w:r>
      <w:r w:rsidR="003912D4" w:rsidRPr="00F535DB">
        <w:t>112bis][306</w:t>
      </w:r>
      <w:r w:rsidR="003912D4" w:rsidRPr="00C36C43">
        <w:t xml:space="preserve">] </w:t>
      </w:r>
      <w:proofErr w:type="spellStart"/>
      <w:r w:rsidR="003912D4" w:rsidRPr="00C36C43">
        <w:t>NR_duplex_evo</w:t>
      </w:r>
      <w:proofErr w:type="spellEnd"/>
      <w:r w:rsidR="003912D4" w:rsidRPr="0084780F">
        <w:rPr>
          <w:lang w:val="en-AU"/>
        </w:rPr>
        <w:t>_General</w:t>
      </w:r>
      <w:r w:rsidR="003912D4" w:rsidRPr="001D14BB">
        <w:t xml:space="preserve">”, </w:t>
      </w:r>
      <w:r w:rsidR="003912D4">
        <w:t>Samsung</w:t>
      </w:r>
      <w:r w:rsidR="003912D4" w:rsidRPr="001D14BB">
        <w:t>, 3GPP TSG-RAN</w:t>
      </w:r>
      <w:r w:rsidR="003912D4">
        <w:t>4</w:t>
      </w:r>
      <w:r w:rsidR="003912D4" w:rsidRPr="001D14BB">
        <w:t xml:space="preserve"> Meeting #1</w:t>
      </w:r>
      <w:r w:rsidR="003912D4">
        <w:t>12bis</w:t>
      </w:r>
      <w:r w:rsidR="003912D4" w:rsidRPr="001D14BB">
        <w:t xml:space="preserve">, </w:t>
      </w:r>
      <w:r w:rsidR="003912D4">
        <w:t>Hefei</w:t>
      </w:r>
      <w:r w:rsidR="003912D4" w:rsidRPr="00C36C43">
        <w:t xml:space="preserve">, </w:t>
      </w:r>
      <w:r w:rsidR="003912D4">
        <w:t>China,</w:t>
      </w:r>
      <w:r w:rsidR="003912D4" w:rsidRPr="001D14BB">
        <w:t xml:space="preserve"> </w:t>
      </w:r>
      <w:r w:rsidR="003912D4">
        <w:t>October</w:t>
      </w:r>
      <w:r w:rsidR="003912D4" w:rsidRPr="001D14BB">
        <w:t xml:space="preserve"> </w:t>
      </w:r>
      <w:r w:rsidR="003912D4">
        <w:t>14-18</w:t>
      </w:r>
      <w:r w:rsidR="003912D4" w:rsidRPr="001D14BB">
        <w:t xml:space="preserve">, </w:t>
      </w:r>
      <w:r w:rsidR="001D14BB" w:rsidRPr="001D14BB">
        <w:t>2024</w:t>
      </w:r>
      <w:r w:rsidR="00BB41AF">
        <w:t>.</w:t>
      </w:r>
    </w:p>
    <w:p w14:paraId="54742034" w14:textId="10DE56A3" w:rsidR="0084780F" w:rsidRPr="00B50B32" w:rsidRDefault="0084780F" w:rsidP="00F81746">
      <w:pPr>
        <w:numPr>
          <w:ilvl w:val="0"/>
          <w:numId w:val="10"/>
        </w:numPr>
        <w:tabs>
          <w:tab w:val="clear" w:pos="720"/>
          <w:tab w:val="num" w:pos="426"/>
        </w:tabs>
        <w:overflowPunct/>
        <w:autoSpaceDE/>
        <w:autoSpaceDN/>
        <w:adjustRightInd/>
        <w:ind w:left="426" w:hanging="426"/>
        <w:jc w:val="both"/>
        <w:textAlignment w:val="auto"/>
      </w:pPr>
      <w:r>
        <w:t>RP-241614</w:t>
      </w:r>
      <w:r w:rsidR="00B50B32">
        <w:t>, “</w:t>
      </w:r>
      <w:r w:rsidR="00B50B32" w:rsidRPr="00B50B32">
        <w:t>Revised WID: Evolution of NR duplex operation: Sub-band full duplex (SBFD)</w:t>
      </w:r>
      <w:r w:rsidR="00B50B32">
        <w:t>”, Huawei, 3GPP TSG RAN Meeting #104, Shanghai, China, June 17-20, 2024.</w:t>
      </w:r>
    </w:p>
    <w:sectPr w:rsidR="0084780F" w:rsidRPr="00B50B32" w:rsidSect="00AD2E43">
      <w:footerReference w:type="default" r:id="rId9"/>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EDE486" w16cid:durableId="29ECF22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484F5B" w14:textId="77777777" w:rsidR="00D074EB" w:rsidRDefault="00D074EB" w:rsidP="0052762B">
      <w:r>
        <w:separator/>
      </w:r>
    </w:p>
  </w:endnote>
  <w:endnote w:type="continuationSeparator" w:id="0">
    <w:p w14:paraId="605ADBB5" w14:textId="77777777" w:rsidR="00D074EB" w:rsidRDefault="00D074EB"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AF1077" w14:textId="77777777" w:rsidR="00D074EB" w:rsidRDefault="00D074EB" w:rsidP="0052762B">
      <w:r>
        <w:separator/>
      </w:r>
    </w:p>
  </w:footnote>
  <w:footnote w:type="continuationSeparator" w:id="0">
    <w:p w14:paraId="59A3B085" w14:textId="77777777" w:rsidR="00D074EB" w:rsidRDefault="00D074EB"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5186F"/>
    <w:multiLevelType w:val="hybridMultilevel"/>
    <w:tmpl w:val="7C02D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4DE0A11"/>
    <w:multiLevelType w:val="hybridMultilevel"/>
    <w:tmpl w:val="A5F65A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F177D1"/>
    <w:multiLevelType w:val="hybridMultilevel"/>
    <w:tmpl w:val="9DEE3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A310120"/>
    <w:multiLevelType w:val="hybridMultilevel"/>
    <w:tmpl w:val="63AAD39A"/>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EBB3041"/>
    <w:multiLevelType w:val="hybridMultilevel"/>
    <w:tmpl w:val="D8F4B6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start w:val="1"/>
      <w:numFmt w:val="bullet"/>
      <w:lvlText w:val="o"/>
      <w:lvlJc w:val="left"/>
      <w:pPr>
        <w:ind w:left="4500" w:hanging="360"/>
      </w:pPr>
      <w:rPr>
        <w:rFonts w:ascii="Courier New" w:hAnsi="Courier New" w:cs="Courier New" w:hint="default"/>
      </w:rPr>
    </w:lvl>
    <w:lvl w:ilvl="5" w:tplc="04190005">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5" w15:restartNumberingAfterBreak="0">
    <w:nsid w:val="58FD2F58"/>
    <w:multiLevelType w:val="hybridMultilevel"/>
    <w:tmpl w:val="DB38B2A0"/>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1538779C">
      <w:start w:val="1"/>
      <w:numFmt w:val="bullet"/>
      <w:lvlText w:val=""/>
      <w:lvlJc w:val="left"/>
      <w:pPr>
        <w:ind w:left="2520" w:hanging="360"/>
      </w:pPr>
      <w:rPr>
        <w:rFonts w:ascii="Wingdings" w:eastAsia="宋体" w:hAnsi="Wingdings" w:cs="Times New Roman"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6"/>
  </w:num>
  <w:num w:numId="3">
    <w:abstractNumId w:val="8"/>
  </w:num>
  <w:num w:numId="4">
    <w:abstractNumId w:val="17"/>
  </w:num>
  <w:num w:numId="5">
    <w:abstractNumId w:val="16"/>
  </w:num>
  <w:num w:numId="6">
    <w:abstractNumId w:val="5"/>
  </w:num>
  <w:num w:numId="7">
    <w:abstractNumId w:val="13"/>
  </w:num>
  <w:num w:numId="8">
    <w:abstractNumId w:val="19"/>
  </w:num>
  <w:num w:numId="9">
    <w:abstractNumId w:val="4"/>
  </w:num>
  <w:num w:numId="10">
    <w:abstractNumId w:val="18"/>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0"/>
  </w:num>
  <w:num w:numId="14">
    <w:abstractNumId w:val="15"/>
  </w:num>
  <w:num w:numId="15">
    <w:abstractNumId w:val="1"/>
  </w:num>
  <w:num w:numId="16">
    <w:abstractNumId w:val="7"/>
  </w:num>
  <w:num w:numId="17">
    <w:abstractNumId w:val="0"/>
  </w:num>
  <w:num w:numId="18">
    <w:abstractNumId w:val="3"/>
  </w:num>
  <w:num w:numId="19">
    <w:abstractNumId w:val="9"/>
  </w:num>
  <w:num w:numId="20">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5F31"/>
    <w:rsid w:val="000063C5"/>
    <w:rsid w:val="0000649E"/>
    <w:rsid w:val="00006F04"/>
    <w:rsid w:val="000079F7"/>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C30"/>
    <w:rsid w:val="00027E56"/>
    <w:rsid w:val="00030169"/>
    <w:rsid w:val="000307A8"/>
    <w:rsid w:val="00031165"/>
    <w:rsid w:val="00031383"/>
    <w:rsid w:val="00031CC0"/>
    <w:rsid w:val="000323D5"/>
    <w:rsid w:val="00032561"/>
    <w:rsid w:val="000326E2"/>
    <w:rsid w:val="00032B28"/>
    <w:rsid w:val="00032EBA"/>
    <w:rsid w:val="00033F47"/>
    <w:rsid w:val="00034749"/>
    <w:rsid w:val="000347DA"/>
    <w:rsid w:val="00034BF3"/>
    <w:rsid w:val="00034F28"/>
    <w:rsid w:val="0003564D"/>
    <w:rsid w:val="00035B74"/>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567"/>
    <w:rsid w:val="0005187B"/>
    <w:rsid w:val="00052AC5"/>
    <w:rsid w:val="00052B27"/>
    <w:rsid w:val="00053083"/>
    <w:rsid w:val="0005317F"/>
    <w:rsid w:val="0005366B"/>
    <w:rsid w:val="00054062"/>
    <w:rsid w:val="00054B1C"/>
    <w:rsid w:val="00055332"/>
    <w:rsid w:val="000557C9"/>
    <w:rsid w:val="00055AD9"/>
    <w:rsid w:val="00056CBD"/>
    <w:rsid w:val="00056EAE"/>
    <w:rsid w:val="00057125"/>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339"/>
    <w:rsid w:val="00064D8A"/>
    <w:rsid w:val="000658D0"/>
    <w:rsid w:val="00065D07"/>
    <w:rsid w:val="00066134"/>
    <w:rsid w:val="000667C2"/>
    <w:rsid w:val="000669F9"/>
    <w:rsid w:val="00066B06"/>
    <w:rsid w:val="00066E67"/>
    <w:rsid w:val="0006712A"/>
    <w:rsid w:val="00067397"/>
    <w:rsid w:val="0006739A"/>
    <w:rsid w:val="0006781A"/>
    <w:rsid w:val="00067DAE"/>
    <w:rsid w:val="0007005B"/>
    <w:rsid w:val="000704E1"/>
    <w:rsid w:val="000707F9"/>
    <w:rsid w:val="00070E01"/>
    <w:rsid w:val="00071608"/>
    <w:rsid w:val="0007164F"/>
    <w:rsid w:val="00071BF8"/>
    <w:rsid w:val="00071DB0"/>
    <w:rsid w:val="000721DA"/>
    <w:rsid w:val="000723F1"/>
    <w:rsid w:val="00072FAF"/>
    <w:rsid w:val="00073B79"/>
    <w:rsid w:val="00073D2A"/>
    <w:rsid w:val="00074981"/>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3791"/>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E2"/>
    <w:rsid w:val="000A1CF5"/>
    <w:rsid w:val="000A2099"/>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2DA5"/>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C7D98"/>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2EFF"/>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2DF6"/>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4108"/>
    <w:rsid w:val="001145CD"/>
    <w:rsid w:val="00114764"/>
    <w:rsid w:val="0011501A"/>
    <w:rsid w:val="001154A8"/>
    <w:rsid w:val="00115AEF"/>
    <w:rsid w:val="00116080"/>
    <w:rsid w:val="00116445"/>
    <w:rsid w:val="00116DF7"/>
    <w:rsid w:val="001171C1"/>
    <w:rsid w:val="00117964"/>
    <w:rsid w:val="00120BBB"/>
    <w:rsid w:val="0012120A"/>
    <w:rsid w:val="001225B0"/>
    <w:rsid w:val="00123086"/>
    <w:rsid w:val="0012333B"/>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1CB"/>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46FF8"/>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821"/>
    <w:rsid w:val="00173B5D"/>
    <w:rsid w:val="00174C11"/>
    <w:rsid w:val="00175090"/>
    <w:rsid w:val="00176AED"/>
    <w:rsid w:val="001779C0"/>
    <w:rsid w:val="00177C30"/>
    <w:rsid w:val="0018047A"/>
    <w:rsid w:val="001804BE"/>
    <w:rsid w:val="00181AD5"/>
    <w:rsid w:val="001822D6"/>
    <w:rsid w:val="001824D1"/>
    <w:rsid w:val="00182D6C"/>
    <w:rsid w:val="00182EDB"/>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9795B"/>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5FF3"/>
    <w:rsid w:val="001A61CC"/>
    <w:rsid w:val="001A652B"/>
    <w:rsid w:val="001A6ADE"/>
    <w:rsid w:val="001A73C7"/>
    <w:rsid w:val="001A7A02"/>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61"/>
    <w:rsid w:val="001C614F"/>
    <w:rsid w:val="001C650E"/>
    <w:rsid w:val="001C6572"/>
    <w:rsid w:val="001C66BA"/>
    <w:rsid w:val="001C715B"/>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63D3"/>
    <w:rsid w:val="002071CE"/>
    <w:rsid w:val="002072F3"/>
    <w:rsid w:val="002078F5"/>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3518"/>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7E1"/>
    <w:rsid w:val="0022587C"/>
    <w:rsid w:val="00225CA5"/>
    <w:rsid w:val="00225E3F"/>
    <w:rsid w:val="00226E14"/>
    <w:rsid w:val="00226FB8"/>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38F"/>
    <w:rsid w:val="00236FEA"/>
    <w:rsid w:val="00237463"/>
    <w:rsid w:val="00237506"/>
    <w:rsid w:val="00237A2E"/>
    <w:rsid w:val="00237AE8"/>
    <w:rsid w:val="00237D98"/>
    <w:rsid w:val="0024014F"/>
    <w:rsid w:val="00240F78"/>
    <w:rsid w:val="00240FC0"/>
    <w:rsid w:val="0024120C"/>
    <w:rsid w:val="002415BD"/>
    <w:rsid w:val="00241962"/>
    <w:rsid w:val="00241C6C"/>
    <w:rsid w:val="00241DE3"/>
    <w:rsid w:val="00241EC6"/>
    <w:rsid w:val="00242785"/>
    <w:rsid w:val="00243513"/>
    <w:rsid w:val="00243A7B"/>
    <w:rsid w:val="00243F07"/>
    <w:rsid w:val="00244532"/>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0E27"/>
    <w:rsid w:val="002512DC"/>
    <w:rsid w:val="00251632"/>
    <w:rsid w:val="00251781"/>
    <w:rsid w:val="002526D0"/>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27A"/>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3E65"/>
    <w:rsid w:val="00264DBA"/>
    <w:rsid w:val="00265611"/>
    <w:rsid w:val="00265651"/>
    <w:rsid w:val="002659FE"/>
    <w:rsid w:val="00265ADD"/>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28F"/>
    <w:rsid w:val="00272674"/>
    <w:rsid w:val="00273008"/>
    <w:rsid w:val="00273E3E"/>
    <w:rsid w:val="00273EBD"/>
    <w:rsid w:val="0027421E"/>
    <w:rsid w:val="00274386"/>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59"/>
    <w:rsid w:val="00285573"/>
    <w:rsid w:val="00286207"/>
    <w:rsid w:val="00286371"/>
    <w:rsid w:val="002863D5"/>
    <w:rsid w:val="00286658"/>
    <w:rsid w:val="0028694F"/>
    <w:rsid w:val="00286ED4"/>
    <w:rsid w:val="00286F8B"/>
    <w:rsid w:val="00287FE0"/>
    <w:rsid w:val="0029089D"/>
    <w:rsid w:val="00290B21"/>
    <w:rsid w:val="002913B8"/>
    <w:rsid w:val="002913F5"/>
    <w:rsid w:val="002915B7"/>
    <w:rsid w:val="002917B5"/>
    <w:rsid w:val="00291E51"/>
    <w:rsid w:val="00292667"/>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4FC9"/>
    <w:rsid w:val="002B5B27"/>
    <w:rsid w:val="002B6135"/>
    <w:rsid w:val="002B6357"/>
    <w:rsid w:val="002B6BCD"/>
    <w:rsid w:val="002B6C05"/>
    <w:rsid w:val="002B6DFD"/>
    <w:rsid w:val="002B6E15"/>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AE2"/>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2D71"/>
    <w:rsid w:val="002E31AE"/>
    <w:rsid w:val="002E3C54"/>
    <w:rsid w:val="002E4797"/>
    <w:rsid w:val="002E49E9"/>
    <w:rsid w:val="002E5749"/>
    <w:rsid w:val="002E5DE2"/>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35E"/>
    <w:rsid w:val="002F64DA"/>
    <w:rsid w:val="002F6B99"/>
    <w:rsid w:val="002F6EC3"/>
    <w:rsid w:val="002F6F3F"/>
    <w:rsid w:val="002F7041"/>
    <w:rsid w:val="002F7307"/>
    <w:rsid w:val="002F744E"/>
    <w:rsid w:val="002F78F6"/>
    <w:rsid w:val="002F7FD1"/>
    <w:rsid w:val="00300ACD"/>
    <w:rsid w:val="00300FBA"/>
    <w:rsid w:val="0030299D"/>
    <w:rsid w:val="00302C19"/>
    <w:rsid w:val="00302FC2"/>
    <w:rsid w:val="00303418"/>
    <w:rsid w:val="00303D7A"/>
    <w:rsid w:val="00303E78"/>
    <w:rsid w:val="00304257"/>
    <w:rsid w:val="00304319"/>
    <w:rsid w:val="003044DD"/>
    <w:rsid w:val="00304BD6"/>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CF8"/>
    <w:rsid w:val="003121BD"/>
    <w:rsid w:val="00312591"/>
    <w:rsid w:val="00312E2F"/>
    <w:rsid w:val="0031371D"/>
    <w:rsid w:val="00313F42"/>
    <w:rsid w:val="00314726"/>
    <w:rsid w:val="00314DE5"/>
    <w:rsid w:val="00315554"/>
    <w:rsid w:val="003157EA"/>
    <w:rsid w:val="00315821"/>
    <w:rsid w:val="003164E5"/>
    <w:rsid w:val="003168AC"/>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780"/>
    <w:rsid w:val="0032716F"/>
    <w:rsid w:val="00327258"/>
    <w:rsid w:val="00331251"/>
    <w:rsid w:val="0033133D"/>
    <w:rsid w:val="00331B0D"/>
    <w:rsid w:val="00331F60"/>
    <w:rsid w:val="0033230F"/>
    <w:rsid w:val="00332A3B"/>
    <w:rsid w:val="00332E63"/>
    <w:rsid w:val="0033353B"/>
    <w:rsid w:val="0033380C"/>
    <w:rsid w:val="003340DC"/>
    <w:rsid w:val="003343B0"/>
    <w:rsid w:val="003348A3"/>
    <w:rsid w:val="003349E7"/>
    <w:rsid w:val="0033529C"/>
    <w:rsid w:val="00335F81"/>
    <w:rsid w:val="0033686C"/>
    <w:rsid w:val="00336C2C"/>
    <w:rsid w:val="00337014"/>
    <w:rsid w:val="00337228"/>
    <w:rsid w:val="0033793F"/>
    <w:rsid w:val="0034016A"/>
    <w:rsid w:val="0034026F"/>
    <w:rsid w:val="0034045C"/>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5E2"/>
    <w:rsid w:val="0037387D"/>
    <w:rsid w:val="00373BE6"/>
    <w:rsid w:val="00373EA6"/>
    <w:rsid w:val="00374808"/>
    <w:rsid w:val="003748F7"/>
    <w:rsid w:val="00374A4E"/>
    <w:rsid w:val="00374E35"/>
    <w:rsid w:val="0037535E"/>
    <w:rsid w:val="00375734"/>
    <w:rsid w:val="00375943"/>
    <w:rsid w:val="003763EC"/>
    <w:rsid w:val="003765D2"/>
    <w:rsid w:val="00376966"/>
    <w:rsid w:val="00376975"/>
    <w:rsid w:val="00376ED2"/>
    <w:rsid w:val="003778C9"/>
    <w:rsid w:val="0038060E"/>
    <w:rsid w:val="003806B5"/>
    <w:rsid w:val="00381934"/>
    <w:rsid w:val="00381A7A"/>
    <w:rsid w:val="00382108"/>
    <w:rsid w:val="00382335"/>
    <w:rsid w:val="00382620"/>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2D4"/>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11"/>
    <w:rsid w:val="003A5339"/>
    <w:rsid w:val="003A5662"/>
    <w:rsid w:val="003A5B6D"/>
    <w:rsid w:val="003A609A"/>
    <w:rsid w:val="003A6608"/>
    <w:rsid w:val="003A76F1"/>
    <w:rsid w:val="003A7929"/>
    <w:rsid w:val="003A7986"/>
    <w:rsid w:val="003A7BFB"/>
    <w:rsid w:val="003A7E9E"/>
    <w:rsid w:val="003B070C"/>
    <w:rsid w:val="003B08C9"/>
    <w:rsid w:val="003B1131"/>
    <w:rsid w:val="003B140E"/>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64B7"/>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556"/>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17"/>
    <w:rsid w:val="003E4559"/>
    <w:rsid w:val="003E4724"/>
    <w:rsid w:val="003E4805"/>
    <w:rsid w:val="003E57B7"/>
    <w:rsid w:val="003E5CD7"/>
    <w:rsid w:val="003E5CD9"/>
    <w:rsid w:val="003E67A1"/>
    <w:rsid w:val="003E6AB4"/>
    <w:rsid w:val="003E703F"/>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74B8"/>
    <w:rsid w:val="003F7D8B"/>
    <w:rsid w:val="003F7F68"/>
    <w:rsid w:val="00400147"/>
    <w:rsid w:val="00400211"/>
    <w:rsid w:val="00400D3A"/>
    <w:rsid w:val="00400F18"/>
    <w:rsid w:val="0040116B"/>
    <w:rsid w:val="0040123F"/>
    <w:rsid w:val="00401648"/>
    <w:rsid w:val="00401E1C"/>
    <w:rsid w:val="004029DE"/>
    <w:rsid w:val="00402FA2"/>
    <w:rsid w:val="004033F6"/>
    <w:rsid w:val="0040356F"/>
    <w:rsid w:val="004035EE"/>
    <w:rsid w:val="0040416A"/>
    <w:rsid w:val="00405597"/>
    <w:rsid w:val="00405CB5"/>
    <w:rsid w:val="004061CC"/>
    <w:rsid w:val="00406346"/>
    <w:rsid w:val="00406483"/>
    <w:rsid w:val="004065E5"/>
    <w:rsid w:val="004069BD"/>
    <w:rsid w:val="00406A79"/>
    <w:rsid w:val="004071C1"/>
    <w:rsid w:val="004078CB"/>
    <w:rsid w:val="00407F56"/>
    <w:rsid w:val="00407F74"/>
    <w:rsid w:val="00410ABC"/>
    <w:rsid w:val="00410B0A"/>
    <w:rsid w:val="0041187A"/>
    <w:rsid w:val="00411B32"/>
    <w:rsid w:val="00412A80"/>
    <w:rsid w:val="00412C67"/>
    <w:rsid w:val="00412F25"/>
    <w:rsid w:val="004138D2"/>
    <w:rsid w:val="00413CB5"/>
    <w:rsid w:val="00414030"/>
    <w:rsid w:val="00414585"/>
    <w:rsid w:val="00414B81"/>
    <w:rsid w:val="00414DE3"/>
    <w:rsid w:val="0041500B"/>
    <w:rsid w:val="00415298"/>
    <w:rsid w:val="00415D8B"/>
    <w:rsid w:val="00415EED"/>
    <w:rsid w:val="004163E0"/>
    <w:rsid w:val="004177C3"/>
    <w:rsid w:val="00417836"/>
    <w:rsid w:val="004200B2"/>
    <w:rsid w:val="004201F9"/>
    <w:rsid w:val="00420D5F"/>
    <w:rsid w:val="004214AB"/>
    <w:rsid w:val="004214D0"/>
    <w:rsid w:val="00421552"/>
    <w:rsid w:val="00421BB3"/>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976"/>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042"/>
    <w:rsid w:val="0049571A"/>
    <w:rsid w:val="00495749"/>
    <w:rsid w:val="00495A00"/>
    <w:rsid w:val="00495E61"/>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212"/>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C4"/>
    <w:rsid w:val="004B5927"/>
    <w:rsid w:val="004B5CEE"/>
    <w:rsid w:val="004B5E9B"/>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760"/>
    <w:rsid w:val="004C5872"/>
    <w:rsid w:val="004C6222"/>
    <w:rsid w:val="004C66F1"/>
    <w:rsid w:val="004C6C5C"/>
    <w:rsid w:val="004C7412"/>
    <w:rsid w:val="004C7937"/>
    <w:rsid w:val="004C7F29"/>
    <w:rsid w:val="004C7F37"/>
    <w:rsid w:val="004D00D6"/>
    <w:rsid w:val="004D0779"/>
    <w:rsid w:val="004D0A69"/>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46A3"/>
    <w:rsid w:val="004E4D73"/>
    <w:rsid w:val="004E4EAD"/>
    <w:rsid w:val="004E5418"/>
    <w:rsid w:val="004E5F38"/>
    <w:rsid w:val="004E61B6"/>
    <w:rsid w:val="004E68D9"/>
    <w:rsid w:val="004E6B02"/>
    <w:rsid w:val="004E76F5"/>
    <w:rsid w:val="004F04BB"/>
    <w:rsid w:val="004F16E2"/>
    <w:rsid w:val="004F1A5F"/>
    <w:rsid w:val="004F21EE"/>
    <w:rsid w:val="004F3534"/>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030"/>
    <w:rsid w:val="00501608"/>
    <w:rsid w:val="00501734"/>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4B4"/>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36DC"/>
    <w:rsid w:val="0052439D"/>
    <w:rsid w:val="00524ACD"/>
    <w:rsid w:val="0052527C"/>
    <w:rsid w:val="005256B0"/>
    <w:rsid w:val="00525BF0"/>
    <w:rsid w:val="00525C2F"/>
    <w:rsid w:val="0052632B"/>
    <w:rsid w:val="00526671"/>
    <w:rsid w:val="00526760"/>
    <w:rsid w:val="00526855"/>
    <w:rsid w:val="0052762B"/>
    <w:rsid w:val="00530694"/>
    <w:rsid w:val="00530791"/>
    <w:rsid w:val="00530809"/>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5A2"/>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7FD"/>
    <w:rsid w:val="005468EB"/>
    <w:rsid w:val="00546C27"/>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850"/>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927"/>
    <w:rsid w:val="00560B9E"/>
    <w:rsid w:val="00560D25"/>
    <w:rsid w:val="00561031"/>
    <w:rsid w:val="005610D2"/>
    <w:rsid w:val="0056209D"/>
    <w:rsid w:val="005626F7"/>
    <w:rsid w:val="00562CB2"/>
    <w:rsid w:val="00562EDA"/>
    <w:rsid w:val="00563A91"/>
    <w:rsid w:val="00563E2C"/>
    <w:rsid w:val="00564486"/>
    <w:rsid w:val="00565C9D"/>
    <w:rsid w:val="005662C6"/>
    <w:rsid w:val="00566558"/>
    <w:rsid w:val="00566FFF"/>
    <w:rsid w:val="0056741F"/>
    <w:rsid w:val="005677B6"/>
    <w:rsid w:val="00570B4C"/>
    <w:rsid w:val="0057170A"/>
    <w:rsid w:val="00571D7F"/>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8F8"/>
    <w:rsid w:val="00586956"/>
    <w:rsid w:val="00586B16"/>
    <w:rsid w:val="00586B2C"/>
    <w:rsid w:val="0058730A"/>
    <w:rsid w:val="005873F2"/>
    <w:rsid w:val="00587942"/>
    <w:rsid w:val="00590164"/>
    <w:rsid w:val="005902F9"/>
    <w:rsid w:val="00590995"/>
    <w:rsid w:val="00590BE8"/>
    <w:rsid w:val="00590EBF"/>
    <w:rsid w:val="00591628"/>
    <w:rsid w:val="00591B88"/>
    <w:rsid w:val="005921DA"/>
    <w:rsid w:val="00592794"/>
    <w:rsid w:val="0059288B"/>
    <w:rsid w:val="005929A6"/>
    <w:rsid w:val="00592BDF"/>
    <w:rsid w:val="005939DF"/>
    <w:rsid w:val="0059400F"/>
    <w:rsid w:val="00594704"/>
    <w:rsid w:val="00595F91"/>
    <w:rsid w:val="0059650A"/>
    <w:rsid w:val="00596617"/>
    <w:rsid w:val="00596ADF"/>
    <w:rsid w:val="00596EA2"/>
    <w:rsid w:val="00597401"/>
    <w:rsid w:val="005A09B5"/>
    <w:rsid w:val="005A0D29"/>
    <w:rsid w:val="005A0EB5"/>
    <w:rsid w:val="005A13A3"/>
    <w:rsid w:val="005A18EE"/>
    <w:rsid w:val="005A1B4F"/>
    <w:rsid w:val="005A2454"/>
    <w:rsid w:val="005A2A9B"/>
    <w:rsid w:val="005A341D"/>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924"/>
    <w:rsid w:val="005B46B2"/>
    <w:rsid w:val="005B4733"/>
    <w:rsid w:val="005B4B16"/>
    <w:rsid w:val="005B4DEC"/>
    <w:rsid w:val="005B56D9"/>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11A"/>
    <w:rsid w:val="005E423C"/>
    <w:rsid w:val="005E4410"/>
    <w:rsid w:val="005E44CB"/>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6010A4"/>
    <w:rsid w:val="00601A0C"/>
    <w:rsid w:val="006034A7"/>
    <w:rsid w:val="00604275"/>
    <w:rsid w:val="00604847"/>
    <w:rsid w:val="00604D12"/>
    <w:rsid w:val="00604DDD"/>
    <w:rsid w:val="00604E0E"/>
    <w:rsid w:val="00605A45"/>
    <w:rsid w:val="00605EE9"/>
    <w:rsid w:val="006060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221"/>
    <w:rsid w:val="00620799"/>
    <w:rsid w:val="0062093A"/>
    <w:rsid w:val="00621A09"/>
    <w:rsid w:val="00621C92"/>
    <w:rsid w:val="00622921"/>
    <w:rsid w:val="00622F15"/>
    <w:rsid w:val="0062322C"/>
    <w:rsid w:val="00623E86"/>
    <w:rsid w:val="00624067"/>
    <w:rsid w:val="0062435A"/>
    <w:rsid w:val="00624DAC"/>
    <w:rsid w:val="00625F3F"/>
    <w:rsid w:val="00626C0D"/>
    <w:rsid w:val="00627034"/>
    <w:rsid w:val="00627285"/>
    <w:rsid w:val="00627325"/>
    <w:rsid w:val="006274B4"/>
    <w:rsid w:val="0062751C"/>
    <w:rsid w:val="006276A9"/>
    <w:rsid w:val="0062771A"/>
    <w:rsid w:val="0063099F"/>
    <w:rsid w:val="00630BD3"/>
    <w:rsid w:val="00631142"/>
    <w:rsid w:val="00631C31"/>
    <w:rsid w:val="00631EE2"/>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10"/>
    <w:rsid w:val="00637A9A"/>
    <w:rsid w:val="00640DFF"/>
    <w:rsid w:val="006416D9"/>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4F4D"/>
    <w:rsid w:val="0064558D"/>
    <w:rsid w:val="00645656"/>
    <w:rsid w:val="0064586D"/>
    <w:rsid w:val="00645DE7"/>
    <w:rsid w:val="00646063"/>
    <w:rsid w:val="006463E0"/>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2F27"/>
    <w:rsid w:val="00653196"/>
    <w:rsid w:val="00653279"/>
    <w:rsid w:val="00653592"/>
    <w:rsid w:val="006535DD"/>
    <w:rsid w:val="006540F6"/>
    <w:rsid w:val="006550A4"/>
    <w:rsid w:val="0065515B"/>
    <w:rsid w:val="006551B4"/>
    <w:rsid w:val="006554D3"/>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CF7"/>
    <w:rsid w:val="00685D13"/>
    <w:rsid w:val="00686188"/>
    <w:rsid w:val="006868BC"/>
    <w:rsid w:val="00686B85"/>
    <w:rsid w:val="0068767C"/>
    <w:rsid w:val="006876C7"/>
    <w:rsid w:val="006878F3"/>
    <w:rsid w:val="00690875"/>
    <w:rsid w:val="0069092D"/>
    <w:rsid w:val="00690B50"/>
    <w:rsid w:val="00690BA3"/>
    <w:rsid w:val="0069121E"/>
    <w:rsid w:val="00691346"/>
    <w:rsid w:val="00691389"/>
    <w:rsid w:val="006915E4"/>
    <w:rsid w:val="006918D8"/>
    <w:rsid w:val="006930A3"/>
    <w:rsid w:val="006933C9"/>
    <w:rsid w:val="00693690"/>
    <w:rsid w:val="0069446A"/>
    <w:rsid w:val="00694651"/>
    <w:rsid w:val="00694768"/>
    <w:rsid w:val="00694D5D"/>
    <w:rsid w:val="00694E59"/>
    <w:rsid w:val="0069514A"/>
    <w:rsid w:val="006955A5"/>
    <w:rsid w:val="00696F88"/>
    <w:rsid w:val="0069733E"/>
    <w:rsid w:val="006977CC"/>
    <w:rsid w:val="006A0455"/>
    <w:rsid w:val="006A0506"/>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5EC0"/>
    <w:rsid w:val="006A60DA"/>
    <w:rsid w:val="006A6D6C"/>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BD6"/>
    <w:rsid w:val="006D1FD3"/>
    <w:rsid w:val="006D239C"/>
    <w:rsid w:val="006D25C7"/>
    <w:rsid w:val="006D31C3"/>
    <w:rsid w:val="006D408E"/>
    <w:rsid w:val="006D42A3"/>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1317"/>
    <w:rsid w:val="006F158E"/>
    <w:rsid w:val="006F1BDF"/>
    <w:rsid w:val="006F1D3C"/>
    <w:rsid w:val="006F1DA9"/>
    <w:rsid w:val="006F2110"/>
    <w:rsid w:val="006F2884"/>
    <w:rsid w:val="006F2DB8"/>
    <w:rsid w:val="006F2E00"/>
    <w:rsid w:val="006F3274"/>
    <w:rsid w:val="006F3859"/>
    <w:rsid w:val="006F38FF"/>
    <w:rsid w:val="006F4204"/>
    <w:rsid w:val="006F42DF"/>
    <w:rsid w:val="006F45A1"/>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1CC"/>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85A"/>
    <w:rsid w:val="00715F29"/>
    <w:rsid w:val="00716590"/>
    <w:rsid w:val="00716909"/>
    <w:rsid w:val="00716B79"/>
    <w:rsid w:val="0072033D"/>
    <w:rsid w:val="007205D3"/>
    <w:rsid w:val="00720821"/>
    <w:rsid w:val="0072216B"/>
    <w:rsid w:val="00722F8A"/>
    <w:rsid w:val="00723314"/>
    <w:rsid w:val="007234C8"/>
    <w:rsid w:val="007234CB"/>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279"/>
    <w:rsid w:val="00740422"/>
    <w:rsid w:val="00740A38"/>
    <w:rsid w:val="0074168D"/>
    <w:rsid w:val="007417B3"/>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57CE0"/>
    <w:rsid w:val="007605E9"/>
    <w:rsid w:val="00760C9D"/>
    <w:rsid w:val="00760DC5"/>
    <w:rsid w:val="00761449"/>
    <w:rsid w:val="007619AD"/>
    <w:rsid w:val="00761BA6"/>
    <w:rsid w:val="00761CDA"/>
    <w:rsid w:val="00761F36"/>
    <w:rsid w:val="00763608"/>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0F5"/>
    <w:rsid w:val="00796765"/>
    <w:rsid w:val="00796C4E"/>
    <w:rsid w:val="00796DD8"/>
    <w:rsid w:val="007971B5"/>
    <w:rsid w:val="00797BD6"/>
    <w:rsid w:val="00797E04"/>
    <w:rsid w:val="007A0F25"/>
    <w:rsid w:val="007A1B22"/>
    <w:rsid w:val="007A1C55"/>
    <w:rsid w:val="007A1FB0"/>
    <w:rsid w:val="007A22CE"/>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0D9"/>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692F"/>
    <w:rsid w:val="007B6D9A"/>
    <w:rsid w:val="007B74A3"/>
    <w:rsid w:val="007B75FE"/>
    <w:rsid w:val="007B7688"/>
    <w:rsid w:val="007B7756"/>
    <w:rsid w:val="007B7A34"/>
    <w:rsid w:val="007C06DB"/>
    <w:rsid w:val="007C103D"/>
    <w:rsid w:val="007C1079"/>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139"/>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BA0"/>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06E"/>
    <w:rsid w:val="0083482A"/>
    <w:rsid w:val="00835352"/>
    <w:rsid w:val="008367F0"/>
    <w:rsid w:val="00836B47"/>
    <w:rsid w:val="00837381"/>
    <w:rsid w:val="00837959"/>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0F"/>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1849"/>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41F1"/>
    <w:rsid w:val="00874211"/>
    <w:rsid w:val="008752FB"/>
    <w:rsid w:val="00875455"/>
    <w:rsid w:val="00875482"/>
    <w:rsid w:val="00875966"/>
    <w:rsid w:val="0087626A"/>
    <w:rsid w:val="00876456"/>
    <w:rsid w:val="00876A06"/>
    <w:rsid w:val="00877764"/>
    <w:rsid w:val="00877A19"/>
    <w:rsid w:val="0088076A"/>
    <w:rsid w:val="00880AC6"/>
    <w:rsid w:val="00880D5C"/>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384"/>
    <w:rsid w:val="00884A5B"/>
    <w:rsid w:val="00885536"/>
    <w:rsid w:val="00885C25"/>
    <w:rsid w:val="008860A1"/>
    <w:rsid w:val="008863CE"/>
    <w:rsid w:val="00886860"/>
    <w:rsid w:val="00886ED0"/>
    <w:rsid w:val="00887C45"/>
    <w:rsid w:val="008900E8"/>
    <w:rsid w:val="0089180C"/>
    <w:rsid w:val="00892458"/>
    <w:rsid w:val="00892543"/>
    <w:rsid w:val="00892A58"/>
    <w:rsid w:val="00892CBB"/>
    <w:rsid w:val="00892F81"/>
    <w:rsid w:val="00893344"/>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233"/>
    <w:rsid w:val="008A6421"/>
    <w:rsid w:val="008A6776"/>
    <w:rsid w:val="008A6B7B"/>
    <w:rsid w:val="008A6BD4"/>
    <w:rsid w:val="008A6BDC"/>
    <w:rsid w:val="008A7EB6"/>
    <w:rsid w:val="008B0C3B"/>
    <w:rsid w:val="008B0F35"/>
    <w:rsid w:val="008B11F3"/>
    <w:rsid w:val="008B1443"/>
    <w:rsid w:val="008B19EA"/>
    <w:rsid w:val="008B1B00"/>
    <w:rsid w:val="008B22CE"/>
    <w:rsid w:val="008B2998"/>
    <w:rsid w:val="008B2A7C"/>
    <w:rsid w:val="008B3131"/>
    <w:rsid w:val="008B319E"/>
    <w:rsid w:val="008B35A0"/>
    <w:rsid w:val="008B3852"/>
    <w:rsid w:val="008B3BED"/>
    <w:rsid w:val="008B3D1E"/>
    <w:rsid w:val="008B4AF5"/>
    <w:rsid w:val="008B529D"/>
    <w:rsid w:val="008B5978"/>
    <w:rsid w:val="008B5F51"/>
    <w:rsid w:val="008B60FA"/>
    <w:rsid w:val="008B63FB"/>
    <w:rsid w:val="008B645A"/>
    <w:rsid w:val="008B68BF"/>
    <w:rsid w:val="008B6EC4"/>
    <w:rsid w:val="008B70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07A"/>
    <w:rsid w:val="008D169B"/>
    <w:rsid w:val="008D233A"/>
    <w:rsid w:val="008D29C0"/>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4A1"/>
    <w:rsid w:val="00902619"/>
    <w:rsid w:val="00902EDF"/>
    <w:rsid w:val="009031F3"/>
    <w:rsid w:val="009033A2"/>
    <w:rsid w:val="00903F53"/>
    <w:rsid w:val="009041AD"/>
    <w:rsid w:val="00904F84"/>
    <w:rsid w:val="009051EF"/>
    <w:rsid w:val="00905557"/>
    <w:rsid w:val="00905C08"/>
    <w:rsid w:val="00905EDB"/>
    <w:rsid w:val="00906547"/>
    <w:rsid w:val="00906E43"/>
    <w:rsid w:val="0090723E"/>
    <w:rsid w:val="00910625"/>
    <w:rsid w:val="00910695"/>
    <w:rsid w:val="0091110C"/>
    <w:rsid w:val="009112E8"/>
    <w:rsid w:val="00911A11"/>
    <w:rsid w:val="00911C40"/>
    <w:rsid w:val="00912169"/>
    <w:rsid w:val="00912307"/>
    <w:rsid w:val="00912326"/>
    <w:rsid w:val="00913667"/>
    <w:rsid w:val="0091369A"/>
    <w:rsid w:val="009138B4"/>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909"/>
    <w:rsid w:val="00925E77"/>
    <w:rsid w:val="0092635A"/>
    <w:rsid w:val="00926A10"/>
    <w:rsid w:val="009271B9"/>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57D"/>
    <w:rsid w:val="009427EC"/>
    <w:rsid w:val="009435D2"/>
    <w:rsid w:val="009435E6"/>
    <w:rsid w:val="009438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43C"/>
    <w:rsid w:val="00970CB3"/>
    <w:rsid w:val="00970F79"/>
    <w:rsid w:val="0097103A"/>
    <w:rsid w:val="00971280"/>
    <w:rsid w:val="00971FB1"/>
    <w:rsid w:val="0097239E"/>
    <w:rsid w:val="00973F00"/>
    <w:rsid w:val="00973F19"/>
    <w:rsid w:val="00974092"/>
    <w:rsid w:val="00974E2C"/>
    <w:rsid w:val="009759BB"/>
    <w:rsid w:val="0097615D"/>
    <w:rsid w:val="009763FC"/>
    <w:rsid w:val="00976A53"/>
    <w:rsid w:val="00976D18"/>
    <w:rsid w:val="00977056"/>
    <w:rsid w:val="00977063"/>
    <w:rsid w:val="00977A74"/>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44"/>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A6D"/>
    <w:rsid w:val="009B3B4E"/>
    <w:rsid w:val="009B4262"/>
    <w:rsid w:val="009B43B6"/>
    <w:rsid w:val="009B43EC"/>
    <w:rsid w:val="009B4AC0"/>
    <w:rsid w:val="009B6091"/>
    <w:rsid w:val="009B65D0"/>
    <w:rsid w:val="009B6AAF"/>
    <w:rsid w:val="009B710A"/>
    <w:rsid w:val="009B772B"/>
    <w:rsid w:val="009B7C27"/>
    <w:rsid w:val="009B7DF8"/>
    <w:rsid w:val="009B7EC5"/>
    <w:rsid w:val="009C0082"/>
    <w:rsid w:val="009C0BCF"/>
    <w:rsid w:val="009C13D4"/>
    <w:rsid w:val="009C13DE"/>
    <w:rsid w:val="009C1590"/>
    <w:rsid w:val="009C1821"/>
    <w:rsid w:val="009C1FA9"/>
    <w:rsid w:val="009C216F"/>
    <w:rsid w:val="009C23C5"/>
    <w:rsid w:val="009C2445"/>
    <w:rsid w:val="009C2A8F"/>
    <w:rsid w:val="009C2FED"/>
    <w:rsid w:val="009C313C"/>
    <w:rsid w:val="009C32C5"/>
    <w:rsid w:val="009C3492"/>
    <w:rsid w:val="009C3558"/>
    <w:rsid w:val="009C3CBE"/>
    <w:rsid w:val="009C4755"/>
    <w:rsid w:val="009C4A88"/>
    <w:rsid w:val="009C4B63"/>
    <w:rsid w:val="009C5320"/>
    <w:rsid w:val="009C57AA"/>
    <w:rsid w:val="009C5C1F"/>
    <w:rsid w:val="009C6150"/>
    <w:rsid w:val="009C6829"/>
    <w:rsid w:val="009C6B8A"/>
    <w:rsid w:val="009C6D22"/>
    <w:rsid w:val="009C70F1"/>
    <w:rsid w:val="009C77EC"/>
    <w:rsid w:val="009C7A92"/>
    <w:rsid w:val="009D0598"/>
    <w:rsid w:val="009D05FC"/>
    <w:rsid w:val="009D0C73"/>
    <w:rsid w:val="009D118A"/>
    <w:rsid w:val="009D130E"/>
    <w:rsid w:val="009D1513"/>
    <w:rsid w:val="009D175C"/>
    <w:rsid w:val="009D184B"/>
    <w:rsid w:val="009D21E3"/>
    <w:rsid w:val="009D2425"/>
    <w:rsid w:val="009D2961"/>
    <w:rsid w:val="009D35BD"/>
    <w:rsid w:val="009D35EC"/>
    <w:rsid w:val="009D3A23"/>
    <w:rsid w:val="009D419F"/>
    <w:rsid w:val="009D4BEA"/>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3F03"/>
    <w:rsid w:val="009E4618"/>
    <w:rsid w:val="009E46CA"/>
    <w:rsid w:val="009E4F63"/>
    <w:rsid w:val="009E5461"/>
    <w:rsid w:val="009E56F8"/>
    <w:rsid w:val="009E592B"/>
    <w:rsid w:val="009E6373"/>
    <w:rsid w:val="009E645B"/>
    <w:rsid w:val="009E7332"/>
    <w:rsid w:val="009E7474"/>
    <w:rsid w:val="009E747F"/>
    <w:rsid w:val="009E7BC3"/>
    <w:rsid w:val="009F0CB4"/>
    <w:rsid w:val="009F1333"/>
    <w:rsid w:val="009F140E"/>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BA7"/>
    <w:rsid w:val="00A01457"/>
    <w:rsid w:val="00A017F2"/>
    <w:rsid w:val="00A0191A"/>
    <w:rsid w:val="00A023DA"/>
    <w:rsid w:val="00A02434"/>
    <w:rsid w:val="00A02B3E"/>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80D"/>
    <w:rsid w:val="00A23FE7"/>
    <w:rsid w:val="00A241D9"/>
    <w:rsid w:val="00A2482D"/>
    <w:rsid w:val="00A24C79"/>
    <w:rsid w:val="00A24EC3"/>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76B5"/>
    <w:rsid w:val="00A4000C"/>
    <w:rsid w:val="00A40971"/>
    <w:rsid w:val="00A40DF6"/>
    <w:rsid w:val="00A40F4B"/>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E64"/>
    <w:rsid w:val="00A62109"/>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74C5"/>
    <w:rsid w:val="00A90569"/>
    <w:rsid w:val="00A90920"/>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C0"/>
    <w:rsid w:val="00AE51E8"/>
    <w:rsid w:val="00AE5214"/>
    <w:rsid w:val="00AE526E"/>
    <w:rsid w:val="00AE530C"/>
    <w:rsid w:val="00AE56FC"/>
    <w:rsid w:val="00AE6668"/>
    <w:rsid w:val="00AE667D"/>
    <w:rsid w:val="00AE69B2"/>
    <w:rsid w:val="00AE69C1"/>
    <w:rsid w:val="00AE70B9"/>
    <w:rsid w:val="00AE7394"/>
    <w:rsid w:val="00AE789B"/>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3EA1"/>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1D4C"/>
    <w:rsid w:val="00B22177"/>
    <w:rsid w:val="00B22397"/>
    <w:rsid w:val="00B224D9"/>
    <w:rsid w:val="00B22976"/>
    <w:rsid w:val="00B22DA6"/>
    <w:rsid w:val="00B22EBB"/>
    <w:rsid w:val="00B22F46"/>
    <w:rsid w:val="00B231DB"/>
    <w:rsid w:val="00B23369"/>
    <w:rsid w:val="00B23406"/>
    <w:rsid w:val="00B24051"/>
    <w:rsid w:val="00B24387"/>
    <w:rsid w:val="00B24D2B"/>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2FEF"/>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3B6"/>
    <w:rsid w:val="00B4257B"/>
    <w:rsid w:val="00B42FE2"/>
    <w:rsid w:val="00B43111"/>
    <w:rsid w:val="00B43516"/>
    <w:rsid w:val="00B43EC2"/>
    <w:rsid w:val="00B444DF"/>
    <w:rsid w:val="00B4459E"/>
    <w:rsid w:val="00B44B0B"/>
    <w:rsid w:val="00B44F74"/>
    <w:rsid w:val="00B45209"/>
    <w:rsid w:val="00B45243"/>
    <w:rsid w:val="00B4579E"/>
    <w:rsid w:val="00B458DE"/>
    <w:rsid w:val="00B459F6"/>
    <w:rsid w:val="00B463B3"/>
    <w:rsid w:val="00B46D69"/>
    <w:rsid w:val="00B46FD3"/>
    <w:rsid w:val="00B470EF"/>
    <w:rsid w:val="00B47509"/>
    <w:rsid w:val="00B4783C"/>
    <w:rsid w:val="00B50B32"/>
    <w:rsid w:val="00B50B3E"/>
    <w:rsid w:val="00B512C9"/>
    <w:rsid w:val="00B512DB"/>
    <w:rsid w:val="00B51B7A"/>
    <w:rsid w:val="00B52E22"/>
    <w:rsid w:val="00B52FFE"/>
    <w:rsid w:val="00B531BF"/>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A7A"/>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8D6"/>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94C"/>
    <w:rsid w:val="00B9129A"/>
    <w:rsid w:val="00B9157B"/>
    <w:rsid w:val="00B91DDC"/>
    <w:rsid w:val="00B924E1"/>
    <w:rsid w:val="00B925D4"/>
    <w:rsid w:val="00B927A3"/>
    <w:rsid w:val="00B92BBC"/>
    <w:rsid w:val="00B93934"/>
    <w:rsid w:val="00B93D50"/>
    <w:rsid w:val="00B94204"/>
    <w:rsid w:val="00B9429D"/>
    <w:rsid w:val="00B94917"/>
    <w:rsid w:val="00B950F1"/>
    <w:rsid w:val="00B958D8"/>
    <w:rsid w:val="00B95E0B"/>
    <w:rsid w:val="00B9629D"/>
    <w:rsid w:val="00B973B5"/>
    <w:rsid w:val="00B97422"/>
    <w:rsid w:val="00B97592"/>
    <w:rsid w:val="00BA0038"/>
    <w:rsid w:val="00BA105E"/>
    <w:rsid w:val="00BA2143"/>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2FB"/>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295D"/>
    <w:rsid w:val="00BD3558"/>
    <w:rsid w:val="00BD3AF3"/>
    <w:rsid w:val="00BD3B8E"/>
    <w:rsid w:val="00BD3E28"/>
    <w:rsid w:val="00BD3F50"/>
    <w:rsid w:val="00BD4200"/>
    <w:rsid w:val="00BD4703"/>
    <w:rsid w:val="00BD47F1"/>
    <w:rsid w:val="00BD505B"/>
    <w:rsid w:val="00BD51DD"/>
    <w:rsid w:val="00BD556D"/>
    <w:rsid w:val="00BD5790"/>
    <w:rsid w:val="00BD57AA"/>
    <w:rsid w:val="00BD59BE"/>
    <w:rsid w:val="00BD5ECA"/>
    <w:rsid w:val="00BD69F1"/>
    <w:rsid w:val="00BD7070"/>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978"/>
    <w:rsid w:val="00BF3052"/>
    <w:rsid w:val="00BF371A"/>
    <w:rsid w:val="00BF3867"/>
    <w:rsid w:val="00BF3DD1"/>
    <w:rsid w:val="00BF3E65"/>
    <w:rsid w:val="00BF4087"/>
    <w:rsid w:val="00BF53C5"/>
    <w:rsid w:val="00BF5952"/>
    <w:rsid w:val="00BF6425"/>
    <w:rsid w:val="00BF6542"/>
    <w:rsid w:val="00BF6840"/>
    <w:rsid w:val="00BF691D"/>
    <w:rsid w:val="00BF6B8A"/>
    <w:rsid w:val="00BF7458"/>
    <w:rsid w:val="00BF74B4"/>
    <w:rsid w:val="00BF7FE9"/>
    <w:rsid w:val="00C0008A"/>
    <w:rsid w:val="00C0165F"/>
    <w:rsid w:val="00C01A77"/>
    <w:rsid w:val="00C01CFE"/>
    <w:rsid w:val="00C02137"/>
    <w:rsid w:val="00C02611"/>
    <w:rsid w:val="00C02E37"/>
    <w:rsid w:val="00C02FDB"/>
    <w:rsid w:val="00C0399E"/>
    <w:rsid w:val="00C03D11"/>
    <w:rsid w:val="00C0443F"/>
    <w:rsid w:val="00C04B37"/>
    <w:rsid w:val="00C052D0"/>
    <w:rsid w:val="00C058F0"/>
    <w:rsid w:val="00C05B24"/>
    <w:rsid w:val="00C05F0D"/>
    <w:rsid w:val="00C06B70"/>
    <w:rsid w:val="00C06DF4"/>
    <w:rsid w:val="00C06F29"/>
    <w:rsid w:val="00C07A01"/>
    <w:rsid w:val="00C07A1B"/>
    <w:rsid w:val="00C103A5"/>
    <w:rsid w:val="00C106F5"/>
    <w:rsid w:val="00C10BB2"/>
    <w:rsid w:val="00C11173"/>
    <w:rsid w:val="00C112E7"/>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74"/>
    <w:rsid w:val="00C31680"/>
    <w:rsid w:val="00C31998"/>
    <w:rsid w:val="00C327C6"/>
    <w:rsid w:val="00C32BA3"/>
    <w:rsid w:val="00C32C20"/>
    <w:rsid w:val="00C32FE0"/>
    <w:rsid w:val="00C33432"/>
    <w:rsid w:val="00C334FF"/>
    <w:rsid w:val="00C335CF"/>
    <w:rsid w:val="00C337FE"/>
    <w:rsid w:val="00C33EA2"/>
    <w:rsid w:val="00C3471C"/>
    <w:rsid w:val="00C34C17"/>
    <w:rsid w:val="00C358D9"/>
    <w:rsid w:val="00C35942"/>
    <w:rsid w:val="00C35AC5"/>
    <w:rsid w:val="00C36C43"/>
    <w:rsid w:val="00C36E28"/>
    <w:rsid w:val="00C379A7"/>
    <w:rsid w:val="00C37F40"/>
    <w:rsid w:val="00C40CE0"/>
    <w:rsid w:val="00C40D35"/>
    <w:rsid w:val="00C418EF"/>
    <w:rsid w:val="00C4199E"/>
    <w:rsid w:val="00C41D95"/>
    <w:rsid w:val="00C4283F"/>
    <w:rsid w:val="00C42BAE"/>
    <w:rsid w:val="00C42FD8"/>
    <w:rsid w:val="00C437F1"/>
    <w:rsid w:val="00C43D1B"/>
    <w:rsid w:val="00C441A5"/>
    <w:rsid w:val="00C44D3D"/>
    <w:rsid w:val="00C4586C"/>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4B3"/>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6E16"/>
    <w:rsid w:val="00C67D98"/>
    <w:rsid w:val="00C70619"/>
    <w:rsid w:val="00C708F9"/>
    <w:rsid w:val="00C70A3D"/>
    <w:rsid w:val="00C70C6C"/>
    <w:rsid w:val="00C70FAD"/>
    <w:rsid w:val="00C7131E"/>
    <w:rsid w:val="00C71626"/>
    <w:rsid w:val="00C72986"/>
    <w:rsid w:val="00C739CA"/>
    <w:rsid w:val="00C73A25"/>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876"/>
    <w:rsid w:val="00C81CA1"/>
    <w:rsid w:val="00C82413"/>
    <w:rsid w:val="00C82447"/>
    <w:rsid w:val="00C82611"/>
    <w:rsid w:val="00C82905"/>
    <w:rsid w:val="00C8299C"/>
    <w:rsid w:val="00C83033"/>
    <w:rsid w:val="00C836DF"/>
    <w:rsid w:val="00C83C22"/>
    <w:rsid w:val="00C844F7"/>
    <w:rsid w:val="00C8476C"/>
    <w:rsid w:val="00C85254"/>
    <w:rsid w:val="00C854F5"/>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3637"/>
    <w:rsid w:val="00C94BF2"/>
    <w:rsid w:val="00C950EA"/>
    <w:rsid w:val="00C9533C"/>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96"/>
    <w:rsid w:val="00CA3CF7"/>
    <w:rsid w:val="00CA3FB9"/>
    <w:rsid w:val="00CA4187"/>
    <w:rsid w:val="00CA4ECB"/>
    <w:rsid w:val="00CA5291"/>
    <w:rsid w:val="00CA57B1"/>
    <w:rsid w:val="00CA58EE"/>
    <w:rsid w:val="00CA599D"/>
    <w:rsid w:val="00CA5F1E"/>
    <w:rsid w:val="00CA6219"/>
    <w:rsid w:val="00CA6940"/>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158"/>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C8"/>
    <w:rsid w:val="00CF7DD7"/>
    <w:rsid w:val="00D01453"/>
    <w:rsid w:val="00D017E5"/>
    <w:rsid w:val="00D01BEB"/>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5FCC"/>
    <w:rsid w:val="00D06169"/>
    <w:rsid w:val="00D064E2"/>
    <w:rsid w:val="00D06E45"/>
    <w:rsid w:val="00D06EB3"/>
    <w:rsid w:val="00D06FAD"/>
    <w:rsid w:val="00D072DA"/>
    <w:rsid w:val="00D074EB"/>
    <w:rsid w:val="00D07797"/>
    <w:rsid w:val="00D07F63"/>
    <w:rsid w:val="00D1014E"/>
    <w:rsid w:val="00D1020D"/>
    <w:rsid w:val="00D10E06"/>
    <w:rsid w:val="00D11012"/>
    <w:rsid w:val="00D11353"/>
    <w:rsid w:val="00D114B5"/>
    <w:rsid w:val="00D11D18"/>
    <w:rsid w:val="00D11D3A"/>
    <w:rsid w:val="00D11E2A"/>
    <w:rsid w:val="00D11F90"/>
    <w:rsid w:val="00D120F3"/>
    <w:rsid w:val="00D12350"/>
    <w:rsid w:val="00D1385F"/>
    <w:rsid w:val="00D13906"/>
    <w:rsid w:val="00D141EF"/>
    <w:rsid w:val="00D143A0"/>
    <w:rsid w:val="00D154C1"/>
    <w:rsid w:val="00D1578E"/>
    <w:rsid w:val="00D15BDB"/>
    <w:rsid w:val="00D15E8C"/>
    <w:rsid w:val="00D16CEB"/>
    <w:rsid w:val="00D176E9"/>
    <w:rsid w:val="00D1775A"/>
    <w:rsid w:val="00D17D95"/>
    <w:rsid w:val="00D17E3B"/>
    <w:rsid w:val="00D2166B"/>
    <w:rsid w:val="00D22231"/>
    <w:rsid w:val="00D22266"/>
    <w:rsid w:val="00D225A9"/>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0FB7"/>
    <w:rsid w:val="00D41A63"/>
    <w:rsid w:val="00D41A9F"/>
    <w:rsid w:val="00D41D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4A"/>
    <w:rsid w:val="00D628A0"/>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F5D"/>
    <w:rsid w:val="00D85402"/>
    <w:rsid w:val="00D86C34"/>
    <w:rsid w:val="00D86C6C"/>
    <w:rsid w:val="00D905FA"/>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3A2"/>
    <w:rsid w:val="00DA3646"/>
    <w:rsid w:val="00DA3843"/>
    <w:rsid w:val="00DA3CB6"/>
    <w:rsid w:val="00DA42A6"/>
    <w:rsid w:val="00DA42F2"/>
    <w:rsid w:val="00DA42F4"/>
    <w:rsid w:val="00DA44D3"/>
    <w:rsid w:val="00DA45FC"/>
    <w:rsid w:val="00DA4DFB"/>
    <w:rsid w:val="00DA4F8D"/>
    <w:rsid w:val="00DA5668"/>
    <w:rsid w:val="00DA56D6"/>
    <w:rsid w:val="00DA5A6D"/>
    <w:rsid w:val="00DA62D1"/>
    <w:rsid w:val="00DA6486"/>
    <w:rsid w:val="00DA67AD"/>
    <w:rsid w:val="00DA714F"/>
    <w:rsid w:val="00DA79DA"/>
    <w:rsid w:val="00DA7BDA"/>
    <w:rsid w:val="00DB029F"/>
    <w:rsid w:val="00DB03CE"/>
    <w:rsid w:val="00DB0F09"/>
    <w:rsid w:val="00DB1120"/>
    <w:rsid w:val="00DB1352"/>
    <w:rsid w:val="00DB1958"/>
    <w:rsid w:val="00DB216D"/>
    <w:rsid w:val="00DB228B"/>
    <w:rsid w:val="00DB235B"/>
    <w:rsid w:val="00DB242E"/>
    <w:rsid w:val="00DB2F33"/>
    <w:rsid w:val="00DB3073"/>
    <w:rsid w:val="00DB3906"/>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1B4"/>
    <w:rsid w:val="00DD2202"/>
    <w:rsid w:val="00DD258E"/>
    <w:rsid w:val="00DD29E2"/>
    <w:rsid w:val="00DD2FE0"/>
    <w:rsid w:val="00DD3168"/>
    <w:rsid w:val="00DD3255"/>
    <w:rsid w:val="00DD3B7D"/>
    <w:rsid w:val="00DD3B98"/>
    <w:rsid w:val="00DD43CC"/>
    <w:rsid w:val="00DD4D95"/>
    <w:rsid w:val="00DD4F6D"/>
    <w:rsid w:val="00DD58F8"/>
    <w:rsid w:val="00DD5C90"/>
    <w:rsid w:val="00DD630A"/>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3E5B"/>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C57"/>
    <w:rsid w:val="00E10D65"/>
    <w:rsid w:val="00E11A21"/>
    <w:rsid w:val="00E11C52"/>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916"/>
    <w:rsid w:val="00E24979"/>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B29"/>
    <w:rsid w:val="00E32DDC"/>
    <w:rsid w:val="00E331E0"/>
    <w:rsid w:val="00E33574"/>
    <w:rsid w:val="00E33717"/>
    <w:rsid w:val="00E33A46"/>
    <w:rsid w:val="00E33ABD"/>
    <w:rsid w:val="00E3467E"/>
    <w:rsid w:val="00E346A1"/>
    <w:rsid w:val="00E3482C"/>
    <w:rsid w:val="00E34A05"/>
    <w:rsid w:val="00E35B58"/>
    <w:rsid w:val="00E360E7"/>
    <w:rsid w:val="00E36478"/>
    <w:rsid w:val="00E36908"/>
    <w:rsid w:val="00E37C84"/>
    <w:rsid w:val="00E402A1"/>
    <w:rsid w:val="00E40AA3"/>
    <w:rsid w:val="00E413E3"/>
    <w:rsid w:val="00E419F3"/>
    <w:rsid w:val="00E41CA2"/>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859"/>
    <w:rsid w:val="00E51C99"/>
    <w:rsid w:val="00E51D2D"/>
    <w:rsid w:val="00E51FFD"/>
    <w:rsid w:val="00E5200D"/>
    <w:rsid w:val="00E527AA"/>
    <w:rsid w:val="00E52906"/>
    <w:rsid w:val="00E532A6"/>
    <w:rsid w:val="00E53D35"/>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AA8"/>
    <w:rsid w:val="00E63B3F"/>
    <w:rsid w:val="00E63E52"/>
    <w:rsid w:val="00E645F9"/>
    <w:rsid w:val="00E64F5A"/>
    <w:rsid w:val="00E6548A"/>
    <w:rsid w:val="00E65BF1"/>
    <w:rsid w:val="00E66CA3"/>
    <w:rsid w:val="00E66DB7"/>
    <w:rsid w:val="00E66F50"/>
    <w:rsid w:val="00E67330"/>
    <w:rsid w:val="00E674B6"/>
    <w:rsid w:val="00E677B1"/>
    <w:rsid w:val="00E67AAF"/>
    <w:rsid w:val="00E67BBE"/>
    <w:rsid w:val="00E67C87"/>
    <w:rsid w:val="00E7090C"/>
    <w:rsid w:val="00E7135A"/>
    <w:rsid w:val="00E71647"/>
    <w:rsid w:val="00E71995"/>
    <w:rsid w:val="00E71A93"/>
    <w:rsid w:val="00E72157"/>
    <w:rsid w:val="00E7223B"/>
    <w:rsid w:val="00E72324"/>
    <w:rsid w:val="00E72363"/>
    <w:rsid w:val="00E73464"/>
    <w:rsid w:val="00E73C2C"/>
    <w:rsid w:val="00E74147"/>
    <w:rsid w:val="00E743E8"/>
    <w:rsid w:val="00E74DAD"/>
    <w:rsid w:val="00E75441"/>
    <w:rsid w:val="00E75788"/>
    <w:rsid w:val="00E75931"/>
    <w:rsid w:val="00E75ADF"/>
    <w:rsid w:val="00E76D76"/>
    <w:rsid w:val="00E76EA3"/>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08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442"/>
    <w:rsid w:val="00EB2706"/>
    <w:rsid w:val="00EB2DE9"/>
    <w:rsid w:val="00EB3148"/>
    <w:rsid w:val="00EB3663"/>
    <w:rsid w:val="00EB4568"/>
    <w:rsid w:val="00EB4844"/>
    <w:rsid w:val="00EB512D"/>
    <w:rsid w:val="00EB58C4"/>
    <w:rsid w:val="00EB58C7"/>
    <w:rsid w:val="00EB5DB6"/>
    <w:rsid w:val="00EB6136"/>
    <w:rsid w:val="00EB621B"/>
    <w:rsid w:val="00EB6310"/>
    <w:rsid w:val="00EB643B"/>
    <w:rsid w:val="00EB6D48"/>
    <w:rsid w:val="00EB6EA5"/>
    <w:rsid w:val="00EB724E"/>
    <w:rsid w:val="00EB73DA"/>
    <w:rsid w:val="00EC07E1"/>
    <w:rsid w:val="00EC1AAF"/>
    <w:rsid w:val="00EC1F5F"/>
    <w:rsid w:val="00EC21BB"/>
    <w:rsid w:val="00EC28D1"/>
    <w:rsid w:val="00EC363B"/>
    <w:rsid w:val="00EC3F40"/>
    <w:rsid w:val="00EC3FEB"/>
    <w:rsid w:val="00EC4171"/>
    <w:rsid w:val="00EC444E"/>
    <w:rsid w:val="00EC488F"/>
    <w:rsid w:val="00EC5A9B"/>
    <w:rsid w:val="00EC5DD1"/>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4AB"/>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CFB"/>
    <w:rsid w:val="00F02F67"/>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C38"/>
    <w:rsid w:val="00F15ED9"/>
    <w:rsid w:val="00F16D07"/>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75"/>
    <w:rsid w:val="00F50AA0"/>
    <w:rsid w:val="00F51276"/>
    <w:rsid w:val="00F51CD4"/>
    <w:rsid w:val="00F51F24"/>
    <w:rsid w:val="00F525FD"/>
    <w:rsid w:val="00F5272D"/>
    <w:rsid w:val="00F52E8C"/>
    <w:rsid w:val="00F535A2"/>
    <w:rsid w:val="00F53BC0"/>
    <w:rsid w:val="00F53F1E"/>
    <w:rsid w:val="00F5490C"/>
    <w:rsid w:val="00F55417"/>
    <w:rsid w:val="00F55486"/>
    <w:rsid w:val="00F5606F"/>
    <w:rsid w:val="00F56804"/>
    <w:rsid w:val="00F56E8B"/>
    <w:rsid w:val="00F57293"/>
    <w:rsid w:val="00F5755F"/>
    <w:rsid w:val="00F57A3D"/>
    <w:rsid w:val="00F600F6"/>
    <w:rsid w:val="00F60279"/>
    <w:rsid w:val="00F61B18"/>
    <w:rsid w:val="00F61EC6"/>
    <w:rsid w:val="00F62579"/>
    <w:rsid w:val="00F6368C"/>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D9D"/>
    <w:rsid w:val="00F72EAC"/>
    <w:rsid w:val="00F72ED2"/>
    <w:rsid w:val="00F73BAB"/>
    <w:rsid w:val="00F73C50"/>
    <w:rsid w:val="00F75649"/>
    <w:rsid w:val="00F756BD"/>
    <w:rsid w:val="00F7579F"/>
    <w:rsid w:val="00F75AEE"/>
    <w:rsid w:val="00F75D1C"/>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67A9"/>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9DC"/>
    <w:rsid w:val="00FA5F79"/>
    <w:rsid w:val="00FA632A"/>
    <w:rsid w:val="00FA639F"/>
    <w:rsid w:val="00FA6A9C"/>
    <w:rsid w:val="00FA7E4E"/>
    <w:rsid w:val="00FB05A4"/>
    <w:rsid w:val="00FB066E"/>
    <w:rsid w:val="00FB06BE"/>
    <w:rsid w:val="00FB0E0B"/>
    <w:rsid w:val="00FB1435"/>
    <w:rsid w:val="00FB1EF7"/>
    <w:rsid w:val="00FB2358"/>
    <w:rsid w:val="00FB2EA0"/>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4C27"/>
    <w:rsid w:val="00FD52A0"/>
    <w:rsid w:val="00FD5585"/>
    <w:rsid w:val="00FD5729"/>
    <w:rsid w:val="00FD5731"/>
    <w:rsid w:val="00FD6212"/>
    <w:rsid w:val="00FD63E8"/>
    <w:rsid w:val="00FD63F9"/>
    <w:rsid w:val="00FD65C6"/>
    <w:rsid w:val="00FD69E7"/>
    <w:rsid w:val="00FD760B"/>
    <w:rsid w:val="00FE21F9"/>
    <w:rsid w:val="00FE22EE"/>
    <w:rsid w:val="00FE25A2"/>
    <w:rsid w:val="00FE2C1E"/>
    <w:rsid w:val="00FE3B7A"/>
    <w:rsid w:val="00FE3F17"/>
    <w:rsid w:val="00FE422E"/>
    <w:rsid w:val="00FE4602"/>
    <w:rsid w:val="00FE46F2"/>
    <w:rsid w:val="00FE4A80"/>
    <w:rsid w:val="00FE55EA"/>
    <w:rsid w:val="00FE695C"/>
    <w:rsid w:val="00FE6C70"/>
    <w:rsid w:val="00FE6F47"/>
    <w:rsid w:val="00FE72B2"/>
    <w:rsid w:val="00FE7BA4"/>
    <w:rsid w:val="00FE7E70"/>
    <w:rsid w:val="00FF0665"/>
    <w:rsid w:val="00FF0734"/>
    <w:rsid w:val="00FF0BCD"/>
    <w:rsid w:val="00FF0C84"/>
    <w:rsid w:val="00FF1145"/>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link w:val="B3Char"/>
    <w:uiPriority w:val="99"/>
    <w:qFormat/>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列表段落"/>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13"/>
      </w:numPr>
      <w:spacing w:after="120"/>
      <w:jc w:val="both"/>
    </w:pPr>
    <w:rPr>
      <w:rFonts w:eastAsia="MS Mincho"/>
      <w:sz w:val="24"/>
      <w:lang w:val="en-US" w:eastAsia="en-GB"/>
    </w:rPr>
  </w:style>
  <w:style w:type="character" w:customStyle="1" w:styleId="B3Char">
    <w:name w:val="B3 Char"/>
    <w:link w:val="B3"/>
    <w:uiPriority w:val="99"/>
    <w:qFormat/>
    <w:rsid w:val="004F3534"/>
    <w:rPr>
      <w:rFonts w:eastAsia="宋体"/>
      <w:lang w:val="en-GB" w:eastAsia="ja-JP"/>
    </w:rPr>
  </w:style>
  <w:style w:type="character" w:customStyle="1" w:styleId="normaltextrun">
    <w:name w:val="normaltextrun"/>
    <w:basedOn w:val="a2"/>
    <w:rsid w:val="00D40FB7"/>
  </w:style>
  <w:style w:type="paragraph" w:customStyle="1" w:styleId="paragraph">
    <w:name w:val="paragraph"/>
    <w:basedOn w:val="a1"/>
    <w:rsid w:val="00D40FB7"/>
    <w:pPr>
      <w:overflowPunct/>
      <w:autoSpaceDE/>
      <w:autoSpaceDN/>
      <w:adjustRightInd/>
      <w:spacing w:before="100" w:beforeAutospacing="1" w:after="100" w:afterAutospacing="1"/>
      <w:textAlignment w:val="auto"/>
    </w:pPr>
    <w:rPr>
      <w:rFonts w:eastAsia="Times New Roman"/>
      <w:sz w:val="24"/>
      <w:szCs w:val="24"/>
      <w:lang w:val="da-DK" w:eastAsia="da-DK"/>
    </w:rPr>
  </w:style>
  <w:style w:type="paragraph" w:customStyle="1" w:styleId="Proposal">
    <w:name w:val="Proposal"/>
    <w:basedOn w:val="af2"/>
    <w:next w:val="a1"/>
    <w:link w:val="ProposalChar"/>
    <w:qFormat/>
    <w:rsid w:val="00D40FB7"/>
    <w:pPr>
      <w:numPr>
        <w:numId w:val="19"/>
      </w:numPr>
      <w:spacing w:before="240" w:after="120"/>
      <w:jc w:val="both"/>
    </w:pPr>
    <w:rPr>
      <w:b/>
      <w:bCs/>
      <w:lang w:val="en-US" w:eastAsia="en-US"/>
    </w:rPr>
  </w:style>
  <w:style w:type="character" w:customStyle="1" w:styleId="ProposalChar">
    <w:name w:val="Proposal Char"/>
    <w:basedOn w:val="a2"/>
    <w:link w:val="Proposal"/>
    <w:rsid w:val="00D40FB7"/>
    <w:rPr>
      <w:rFonts w:eastAsia="宋体"/>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D32F6F-5350-4319-BDBB-480ADE591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1131</TotalTime>
  <Pages>4</Pages>
  <Words>1113</Words>
  <Characters>6345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7444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Liu Liehai</dc:creator>
  <cp:keywords/>
  <cp:lastModifiedBy>Huawei</cp:lastModifiedBy>
  <cp:revision>72</cp:revision>
  <cp:lastPrinted>2010-01-07T02:23:00Z</cp:lastPrinted>
  <dcterms:created xsi:type="dcterms:W3CDTF">2024-05-13T12:12:00Z</dcterms:created>
  <dcterms:modified xsi:type="dcterms:W3CDTF">2024-11-08T11:55:00Z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(3)oFOtdycY0EE72LOPUh3ksFhbLQSRAr6ar2hyJgDwDAIe0B+9KQNa9TES0XOXNmdwu8KWDaF8
1MSjVQocinCAJ5OCVmoG40xXRpMJp5pOeW4nsf9cvm0lR2M6bh6NJ1j/ufn5enbLYS2ZmAQ7
2OaKP50kma+iNXjuf3tUMmxECE2v4VnPw+RXdtAG51Ym59GnZw7NPPR6mmgmG8cPN/stg8R7
Z24qbpL55m/ZD1Gwn+</vt:lpwstr>
  </property>
  <property fmtid="{D5CDD505-2E9C-101B-9397-08002B2CF9AE}" pid="15" name="_2015_ms_pID_725343_00">
    <vt:lpwstr>_2015_ms_pID_725343</vt:lpwstr>
  </property>
  <property fmtid="{D5CDD505-2E9C-101B-9397-08002B2CF9AE}" pid="16" name="_2015_ms_pID_7253431">
    <vt:lpwstr>sBEn4UZJ93xePRYBE6y3q2aUpiB5OYpOpNNsO7SDOooPpShpk9Edk+
DynRTTIpTiJLN3IHQbjBc2OF5XigzSKKK7cTba3rFYuupp25D7+LhybD1RHrk/7J57eLfZi7
v1+ggf3gl7WMhO3DozNqkntaFCtWUCn82QEkD2hFuC7Zmx5UM5r0ZIsxECMYha3tRXrbe4xD
dt0/N+hmfQlyeHLn1nmkFcktqbWiG89j8sQu</vt:lpwstr>
  </property>
  <property fmtid="{D5CDD505-2E9C-101B-9397-08002B2CF9AE}" pid="17" name="_2015_ms_pID_7253431_00">
    <vt:lpwstr>_2015_ms_pID_7253431</vt:lpwstr>
  </property>
  <property fmtid="{D5CDD505-2E9C-101B-9397-08002B2CF9AE}" pid="18" name="_2015_ms_pID_7253432">
    <vt:lpwstr>Mw==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1729931277</vt:lpwstr>
  </property>
</Properties>
</file>